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629" w:rsidRDefault="009A1D1A">
      <w:pPr>
        <w:pStyle w:val="Default"/>
        <w:tabs>
          <w:tab w:val="center" w:pos="4252"/>
          <w:tab w:val="right" w:pos="8504"/>
        </w:tabs>
        <w:rPr>
          <w:b/>
          <w:bCs/>
          <w:color w:val="4E81BC"/>
          <w:sz w:val="36"/>
          <w:szCs w:val="36"/>
        </w:rPr>
      </w:pPr>
      <w:r>
        <w:rPr>
          <w:b/>
          <w:bCs/>
          <w:color w:val="4E81BC"/>
          <w:sz w:val="36"/>
          <w:szCs w:val="36"/>
        </w:rPr>
        <w:tab/>
        <w:t>FICHA TÉCNICA 4</w:t>
      </w:r>
    </w:p>
    <w:p w:rsidR="00784629" w:rsidRDefault="00784629">
      <w:pPr>
        <w:pStyle w:val="Default"/>
        <w:tabs>
          <w:tab w:val="center" w:pos="4252"/>
          <w:tab w:val="right" w:pos="8504"/>
        </w:tabs>
        <w:rPr>
          <w:color w:val="4E81BC"/>
          <w:sz w:val="36"/>
          <w:szCs w:val="36"/>
        </w:rPr>
      </w:pPr>
    </w:p>
    <w:p w:rsidR="00784629" w:rsidRDefault="009A1D1A">
      <w:pPr>
        <w:pStyle w:val="Default"/>
        <w:jc w:val="center"/>
        <w:rPr>
          <w:color w:val="4E81BC"/>
          <w:sz w:val="36"/>
          <w:szCs w:val="36"/>
        </w:rPr>
      </w:pPr>
      <w:r>
        <w:rPr>
          <w:b/>
          <w:bCs/>
          <w:color w:val="4E81BC"/>
          <w:sz w:val="36"/>
          <w:szCs w:val="36"/>
        </w:rPr>
        <w:t>GASTOS POR SERVICIOS Y ASESORAMIENTO EXTERNOS</w:t>
      </w:r>
    </w:p>
    <w:p w:rsidR="00784629" w:rsidRDefault="00784629">
      <w:pPr>
        <w:pStyle w:val="Default"/>
        <w:rPr>
          <w:b/>
          <w:bCs/>
          <w:color w:val="4E81BC"/>
          <w:sz w:val="22"/>
          <w:szCs w:val="22"/>
        </w:rPr>
      </w:pPr>
    </w:p>
    <w:p w:rsidR="00784629" w:rsidRDefault="00784629">
      <w:pPr>
        <w:pStyle w:val="Default"/>
        <w:rPr>
          <w:b/>
          <w:bCs/>
          <w:color w:val="4E81BC"/>
          <w:sz w:val="22"/>
          <w:szCs w:val="22"/>
        </w:rPr>
      </w:pPr>
    </w:p>
    <w:p w:rsidR="00784629" w:rsidRDefault="009A1D1A">
      <w:pPr>
        <w:pStyle w:val="Prrafodelista"/>
        <w:numPr>
          <w:ilvl w:val="0"/>
          <w:numId w:val="3"/>
        </w:numPr>
        <w:spacing w:after="0" w:line="240" w:lineRule="auto"/>
        <w:rPr>
          <w:rFonts w:ascii="Tahoma" w:hAnsi="Tahoma" w:cs="Tahoma"/>
          <w:b/>
          <w:bCs/>
          <w:color w:val="4E81BC"/>
        </w:rPr>
      </w:pPr>
      <w:r>
        <w:rPr>
          <w:rFonts w:ascii="Tahoma" w:hAnsi="Tahoma" w:cs="Tahoma"/>
          <w:b/>
          <w:bCs/>
          <w:color w:val="4E81BC"/>
        </w:rPr>
        <w:t>BASE JURÍDICA</w:t>
      </w:r>
    </w:p>
    <w:p w:rsidR="00784629" w:rsidRDefault="009A1D1A">
      <w:pPr>
        <w:spacing w:after="0" w:line="240" w:lineRule="auto"/>
        <w:jc w:val="both"/>
        <w:rPr>
          <w:rFonts w:ascii="Tahoma" w:hAnsi="Tahoma" w:cs="Tahoma"/>
          <w:strike/>
          <w:color w:val="000000"/>
        </w:rPr>
      </w:pPr>
      <w:r>
        <w:rPr>
          <w:rFonts w:ascii="Tahoma" w:hAnsi="Tahoma" w:cs="Tahoma"/>
          <w:strike/>
          <w:color w:val="000000"/>
        </w:rPr>
        <w:t xml:space="preserve"> </w:t>
      </w:r>
    </w:p>
    <w:p w:rsidR="00784629" w:rsidRDefault="009A1D1A">
      <w:pPr>
        <w:spacing w:after="0" w:line="240" w:lineRule="auto"/>
        <w:jc w:val="both"/>
        <w:rPr>
          <w:rFonts w:ascii="Tahoma" w:hAnsi="Tahoma" w:cs="Tahoma"/>
          <w:color w:val="000000"/>
        </w:rPr>
      </w:pPr>
      <w:r>
        <w:rPr>
          <w:rFonts w:ascii="Tahoma" w:hAnsi="Tahoma" w:cs="Tahoma"/>
          <w:color w:val="000000"/>
        </w:rPr>
        <w:t>Los elementos subvencionables relativos a los gastos por servicios y asesoramientos externos están identificados en el artículo 42 del Reglamento (UE) nº 2021/1059 (Reglamento Interreg).</w:t>
      </w:r>
    </w:p>
    <w:p w:rsidR="00784629" w:rsidRDefault="00784629">
      <w:pPr>
        <w:pStyle w:val="Prrafodelista"/>
        <w:spacing w:after="0" w:line="240" w:lineRule="auto"/>
        <w:ind w:left="360"/>
        <w:rPr>
          <w:rFonts w:ascii="Tahoma" w:hAnsi="Tahoma" w:cs="Tahoma"/>
          <w:color w:val="4E81BC"/>
        </w:rPr>
      </w:pPr>
    </w:p>
    <w:p w:rsidR="00784629" w:rsidRDefault="009A1D1A">
      <w:pPr>
        <w:pStyle w:val="Prrafodelista"/>
        <w:numPr>
          <w:ilvl w:val="0"/>
          <w:numId w:val="3"/>
        </w:numPr>
        <w:spacing w:after="0" w:line="240" w:lineRule="auto"/>
        <w:rPr>
          <w:rFonts w:ascii="Tahoma" w:hAnsi="Tahoma" w:cs="Tahoma"/>
          <w:color w:val="4E81BC"/>
        </w:rPr>
      </w:pPr>
      <w:r>
        <w:rPr>
          <w:rFonts w:ascii="Tahoma" w:hAnsi="Tahoma" w:cs="Tahoma"/>
          <w:b/>
          <w:bCs/>
          <w:color w:val="4E81BC"/>
        </w:rPr>
        <w:t xml:space="preserve">DEFINICIÓN </w:t>
      </w:r>
    </w:p>
    <w:p w:rsidR="00784629" w:rsidRDefault="00784629">
      <w:pPr>
        <w:pStyle w:val="Prrafodelista"/>
        <w:spacing w:after="0" w:line="240" w:lineRule="auto"/>
        <w:rPr>
          <w:rFonts w:ascii="Tahoma" w:hAnsi="Tahoma" w:cs="Tahoma"/>
          <w:color w:val="4E81BC"/>
        </w:rPr>
      </w:pPr>
    </w:p>
    <w:p w:rsidR="00784629" w:rsidRDefault="009A1D1A">
      <w:pPr>
        <w:spacing w:after="0" w:line="240" w:lineRule="auto"/>
        <w:jc w:val="both"/>
        <w:rPr>
          <w:rFonts w:ascii="Tahoma" w:hAnsi="Tahoma" w:cs="Tahoma"/>
          <w:b/>
          <w:bCs/>
        </w:rPr>
      </w:pPr>
      <w:r>
        <w:rPr>
          <w:rFonts w:ascii="Tahoma" w:hAnsi="Tahoma" w:cs="Tahoma"/>
          <w:color w:val="000000"/>
        </w:rPr>
        <w:t xml:space="preserve">Se considerarán gastos de servicios y asesoramiento externos los correspondientes a </w:t>
      </w:r>
      <w:r>
        <w:rPr>
          <w:rFonts w:ascii="Tahoma" w:hAnsi="Tahoma" w:cs="Tahoma"/>
          <w:b/>
          <w:bCs/>
          <w:color w:val="000000"/>
        </w:rPr>
        <w:t xml:space="preserve">servicios y conocimientos profesionales </w:t>
      </w:r>
      <w:r>
        <w:rPr>
          <w:rFonts w:ascii="Tahoma" w:hAnsi="Tahoma" w:cs="Tahoma"/>
          <w:color w:val="000000"/>
        </w:rPr>
        <w:t xml:space="preserve">prestados por una persona física o jurídica (pública o privada) </w:t>
      </w:r>
      <w:r>
        <w:rPr>
          <w:rFonts w:ascii="Tahoma" w:hAnsi="Tahoma" w:cs="Tahoma"/>
          <w:b/>
          <w:bCs/>
          <w:color w:val="000000"/>
        </w:rPr>
        <w:t xml:space="preserve">que no sea beneficiaria del proyecto </w:t>
      </w:r>
      <w:r>
        <w:rPr>
          <w:rFonts w:ascii="Tahoma" w:hAnsi="Tahoma" w:cs="Tahoma"/>
          <w:b/>
          <w:bCs/>
        </w:rPr>
        <w:t>ni esté jurídicamente vinculado a la misma</w:t>
      </w:r>
      <w:r>
        <w:rPr>
          <w:rFonts w:ascii="Tahoma" w:hAnsi="Tahoma" w:cs="Tahoma"/>
        </w:rPr>
        <w:t xml:space="preserve">. </w:t>
      </w:r>
    </w:p>
    <w:p w:rsidR="00784629" w:rsidRDefault="00784629">
      <w:pPr>
        <w:spacing w:after="0" w:line="240" w:lineRule="auto"/>
        <w:jc w:val="both"/>
        <w:rPr>
          <w:rFonts w:ascii="Tahoma" w:hAnsi="Tahoma" w:cs="Tahoma"/>
          <w:color w:val="000000"/>
        </w:rPr>
      </w:pPr>
    </w:p>
    <w:p w:rsidR="00784629" w:rsidRDefault="009A1D1A">
      <w:pPr>
        <w:spacing w:after="0" w:line="240" w:lineRule="auto"/>
        <w:jc w:val="both"/>
        <w:rPr>
          <w:rFonts w:ascii="Tahoma" w:hAnsi="Tahoma" w:cs="Tahoma"/>
          <w:color w:val="000000"/>
        </w:rPr>
      </w:pPr>
      <w:r>
        <w:rPr>
          <w:rFonts w:ascii="Tahoma" w:hAnsi="Tahoma" w:cs="Tahoma"/>
          <w:color w:val="000000"/>
        </w:rPr>
        <w:t xml:space="preserve">Esta categoría incluye los gastos de facturas o documentos equivalentes pagados por el beneficiario del proyecto, emitidos </w:t>
      </w:r>
      <w:r>
        <w:rPr>
          <w:rFonts w:ascii="Tahoma" w:hAnsi="Tahoma" w:cs="Tahoma"/>
          <w:b/>
          <w:bCs/>
          <w:color w:val="000000"/>
        </w:rPr>
        <w:t>sobre la base de contratos o acuerdos por escrito</w:t>
      </w:r>
      <w:r>
        <w:rPr>
          <w:rFonts w:ascii="Tahoma" w:hAnsi="Tahoma" w:cs="Tahoma"/>
          <w:color w:val="000000"/>
        </w:rPr>
        <w:t xml:space="preserve">, para la realización de determinadas actividades del proyecto directamente vinculadas con el mismo. </w:t>
      </w:r>
    </w:p>
    <w:p w:rsidR="00784629" w:rsidRDefault="00784629">
      <w:pPr>
        <w:spacing w:after="0" w:line="240" w:lineRule="auto"/>
        <w:jc w:val="both"/>
        <w:rPr>
          <w:rFonts w:ascii="Tahoma" w:hAnsi="Tahoma" w:cs="Tahoma"/>
          <w:color w:val="000000"/>
        </w:rPr>
      </w:pPr>
    </w:p>
    <w:p w:rsidR="00784629" w:rsidRDefault="009A1D1A">
      <w:pPr>
        <w:jc w:val="both"/>
      </w:pPr>
      <w:r>
        <w:rPr>
          <w:rFonts w:ascii="Tahoma" w:hAnsi="Tahoma" w:cs="Tahoma"/>
        </w:rPr>
        <w:t>Los gastos de expertos y servicios externos que no formen parte de un contrato de obras (tales como estudios de viabilidad, impacto ambiental, permisos, etc.) pero que formen parte de una inversión en infraestructuras, se incluirán en esta categoría de gasto.</w:t>
      </w:r>
    </w:p>
    <w:p w:rsidR="00784629" w:rsidRDefault="009A1D1A">
      <w:pPr>
        <w:spacing w:after="0" w:line="240" w:lineRule="auto"/>
        <w:jc w:val="both"/>
        <w:rPr>
          <w:rFonts w:ascii="Tahoma" w:hAnsi="Tahoma" w:cs="Tahoma"/>
        </w:rPr>
      </w:pPr>
      <w:r>
        <w:rPr>
          <w:rFonts w:ascii="Tahoma" w:hAnsi="Tahoma" w:cs="Tahoma"/>
        </w:rPr>
        <w:t xml:space="preserve">Se entenderán por tales los siguientes: </w:t>
      </w:r>
    </w:p>
    <w:p w:rsidR="00784629" w:rsidRDefault="009A1D1A">
      <w:pPr>
        <w:pStyle w:val="Prrafodelista"/>
        <w:numPr>
          <w:ilvl w:val="0"/>
          <w:numId w:val="4"/>
        </w:numPr>
        <w:spacing w:before="120" w:after="120" w:line="240" w:lineRule="auto"/>
        <w:ind w:left="714" w:hanging="357"/>
        <w:contextualSpacing w:val="0"/>
        <w:jc w:val="both"/>
        <w:rPr>
          <w:rFonts w:ascii="Tahoma" w:hAnsi="Tahoma" w:cs="Tahoma"/>
        </w:rPr>
      </w:pPr>
      <w:r>
        <w:rPr>
          <w:rFonts w:ascii="Tahoma" w:hAnsi="Tahoma" w:cs="Tahoma"/>
        </w:rPr>
        <w:t>Estudios o encuestas (por ejemplo, evaluaciones, estrategias, planes de diseño, manuales).</w:t>
      </w:r>
    </w:p>
    <w:p w:rsidR="00784629" w:rsidRDefault="009A1D1A">
      <w:pPr>
        <w:pStyle w:val="Prrafodelista"/>
        <w:numPr>
          <w:ilvl w:val="0"/>
          <w:numId w:val="4"/>
        </w:numPr>
        <w:spacing w:before="120" w:after="120" w:line="240" w:lineRule="auto"/>
        <w:ind w:left="714" w:hanging="357"/>
        <w:contextualSpacing w:val="0"/>
        <w:jc w:val="both"/>
        <w:rPr>
          <w:rFonts w:ascii="Tahoma" w:hAnsi="Tahoma" w:cs="Tahoma"/>
        </w:rPr>
      </w:pPr>
      <w:r>
        <w:rPr>
          <w:rFonts w:ascii="Tahoma" w:hAnsi="Tahoma" w:cs="Tahoma"/>
        </w:rPr>
        <w:t>Formación.</w:t>
      </w:r>
    </w:p>
    <w:p w:rsidR="00784629" w:rsidRDefault="009A1D1A">
      <w:pPr>
        <w:pStyle w:val="Prrafodelista"/>
        <w:numPr>
          <w:ilvl w:val="0"/>
          <w:numId w:val="4"/>
        </w:numPr>
        <w:spacing w:before="120" w:after="120" w:line="240" w:lineRule="auto"/>
        <w:ind w:left="714" w:hanging="357"/>
        <w:contextualSpacing w:val="0"/>
        <w:jc w:val="both"/>
        <w:rPr>
          <w:rFonts w:ascii="Tahoma" w:hAnsi="Tahoma" w:cs="Tahoma"/>
        </w:rPr>
      </w:pPr>
      <w:r>
        <w:rPr>
          <w:rFonts w:ascii="Tahoma" w:hAnsi="Tahoma" w:cs="Tahoma"/>
        </w:rPr>
        <w:t>Traducciones.</w:t>
      </w:r>
    </w:p>
    <w:p w:rsidR="00784629" w:rsidRDefault="009A1D1A">
      <w:pPr>
        <w:pStyle w:val="Prrafodelista"/>
        <w:numPr>
          <w:ilvl w:val="0"/>
          <w:numId w:val="4"/>
        </w:numPr>
        <w:spacing w:before="120" w:after="120" w:line="240" w:lineRule="auto"/>
        <w:ind w:left="714" w:hanging="357"/>
        <w:contextualSpacing w:val="0"/>
        <w:jc w:val="both"/>
        <w:rPr>
          <w:rFonts w:ascii="Tahoma" w:hAnsi="Tahoma" w:cs="Tahoma"/>
        </w:rPr>
      </w:pPr>
      <w:r>
        <w:rPr>
          <w:rFonts w:ascii="Tahoma" w:hAnsi="Tahoma" w:cs="Tahoma"/>
        </w:rPr>
        <w:t>Desarrollo, modificaciones y actualizaciones de los sistemas informáticos y de</w:t>
      </w:r>
      <w:r>
        <w:rPr>
          <w:rFonts w:ascii="Tahoma" w:hAnsi="Tahoma" w:cs="Tahoma"/>
          <w:strike/>
        </w:rPr>
        <w:t>l</w:t>
      </w:r>
      <w:r>
        <w:rPr>
          <w:rFonts w:ascii="Tahoma" w:hAnsi="Tahoma" w:cs="Tahoma"/>
        </w:rPr>
        <w:t xml:space="preserve"> sitios web; </w:t>
      </w:r>
    </w:p>
    <w:p w:rsidR="00784629" w:rsidRDefault="009A1D1A">
      <w:pPr>
        <w:pStyle w:val="Prrafodelista"/>
        <w:numPr>
          <w:ilvl w:val="0"/>
          <w:numId w:val="4"/>
        </w:numPr>
        <w:spacing w:before="120" w:after="120" w:line="240" w:lineRule="auto"/>
        <w:ind w:left="714" w:hanging="357"/>
        <w:contextualSpacing w:val="0"/>
        <w:jc w:val="both"/>
        <w:rPr>
          <w:rFonts w:ascii="Tahoma" w:hAnsi="Tahoma" w:cs="Tahoma"/>
        </w:rPr>
      </w:pPr>
      <w:r>
        <w:rPr>
          <w:rFonts w:ascii="Tahoma" w:hAnsi="Tahoma" w:cs="Tahoma"/>
        </w:rPr>
        <w:t>Promoción, comunicación, publicidad, artículos y actividades de promoción o información de las actividades del proyecto.</w:t>
      </w:r>
    </w:p>
    <w:p w:rsidR="00784629" w:rsidRDefault="009A1D1A">
      <w:pPr>
        <w:pStyle w:val="Prrafodelista"/>
        <w:numPr>
          <w:ilvl w:val="0"/>
          <w:numId w:val="4"/>
        </w:numPr>
        <w:spacing w:before="120" w:after="120" w:line="240" w:lineRule="auto"/>
        <w:ind w:left="714" w:hanging="357"/>
        <w:contextualSpacing w:val="0"/>
        <w:jc w:val="both"/>
        <w:rPr>
          <w:rFonts w:ascii="Tahoma" w:hAnsi="Tahoma" w:cs="Tahoma"/>
        </w:rPr>
      </w:pPr>
      <w:r>
        <w:rPr>
          <w:rFonts w:ascii="Tahoma" w:hAnsi="Tahoma" w:cs="Tahoma"/>
        </w:rPr>
        <w:t>Gestión financiera.</w:t>
      </w:r>
    </w:p>
    <w:p w:rsidR="00784629" w:rsidRDefault="009A1D1A">
      <w:pPr>
        <w:pStyle w:val="Prrafodelista"/>
        <w:numPr>
          <w:ilvl w:val="0"/>
          <w:numId w:val="4"/>
        </w:numPr>
        <w:spacing w:before="120" w:after="120" w:line="240" w:lineRule="auto"/>
        <w:ind w:left="714" w:hanging="357"/>
        <w:contextualSpacing w:val="0"/>
        <w:jc w:val="both"/>
        <w:rPr>
          <w:rFonts w:ascii="Tahoma" w:hAnsi="Tahoma" w:cs="Tahoma"/>
        </w:rPr>
      </w:pPr>
      <w:r>
        <w:rPr>
          <w:rFonts w:ascii="Tahoma" w:hAnsi="Tahoma" w:cs="Tahoma"/>
        </w:rPr>
        <w:t>Servicios relacionados con la organización y desarrollo de actos o reuniones (tales como alquileres, catering o interpretación). Aquí se entienden incluidos los gastos que pague un beneficiario para el conjunto de socios en el marco de la organización de reuniones del proyecto.</w:t>
      </w:r>
    </w:p>
    <w:p w:rsidR="00784629" w:rsidRDefault="009A1D1A">
      <w:pPr>
        <w:pStyle w:val="Prrafodelista"/>
        <w:numPr>
          <w:ilvl w:val="0"/>
          <w:numId w:val="4"/>
        </w:numPr>
        <w:spacing w:before="120" w:after="120" w:line="240" w:lineRule="auto"/>
        <w:ind w:left="714" w:hanging="357"/>
        <w:contextualSpacing w:val="0"/>
        <w:jc w:val="both"/>
        <w:rPr>
          <w:rFonts w:ascii="Tahoma" w:hAnsi="Tahoma" w:cs="Tahoma"/>
        </w:rPr>
      </w:pPr>
      <w:r>
        <w:rPr>
          <w:rFonts w:ascii="Tahoma" w:hAnsi="Tahoma" w:cs="Tahoma"/>
        </w:rPr>
        <w:t xml:space="preserve">Gastos de participación en actos (por ejemplo, gastos de inscripción o matrícula). </w:t>
      </w:r>
    </w:p>
    <w:p w:rsidR="00784629" w:rsidRDefault="00784629">
      <w:pPr>
        <w:spacing w:before="120" w:after="120" w:line="240" w:lineRule="auto"/>
        <w:jc w:val="both"/>
        <w:rPr>
          <w:rFonts w:ascii="Tahoma" w:hAnsi="Tahoma" w:cs="Tahoma"/>
        </w:rPr>
      </w:pPr>
    </w:p>
    <w:p w:rsidR="00784629" w:rsidRDefault="009A1D1A">
      <w:pPr>
        <w:pStyle w:val="Prrafodelista"/>
        <w:numPr>
          <w:ilvl w:val="0"/>
          <w:numId w:val="4"/>
        </w:numPr>
        <w:spacing w:before="120" w:after="120" w:line="240" w:lineRule="auto"/>
        <w:ind w:left="714" w:hanging="357"/>
        <w:contextualSpacing w:val="0"/>
        <w:jc w:val="both"/>
        <w:rPr>
          <w:rFonts w:ascii="Tahoma" w:hAnsi="Tahoma" w:cs="Tahoma"/>
          <w:color w:val="000000"/>
        </w:rPr>
      </w:pPr>
      <w:r>
        <w:rPr>
          <w:rFonts w:ascii="Tahoma" w:hAnsi="Tahoma" w:cs="Tahoma"/>
          <w:color w:val="000000"/>
        </w:rPr>
        <w:t>Servicios notariales y de asesoramiento jurídico, conocimientos especializados en los ámbitos técnicos y financieros</w:t>
      </w:r>
      <w:r>
        <w:rPr>
          <w:rFonts w:ascii="Tahoma" w:hAnsi="Tahoma" w:cs="Tahoma"/>
        </w:rPr>
        <w:t>, y</w:t>
      </w:r>
      <w:r>
        <w:rPr>
          <w:rFonts w:ascii="Tahoma" w:hAnsi="Tahoma" w:cs="Tahoma"/>
          <w:color w:val="000000"/>
        </w:rPr>
        <w:t xml:space="preserve"> otros servicios de consultoría y contabilidad.</w:t>
      </w:r>
    </w:p>
    <w:p w:rsidR="00784629" w:rsidRDefault="009A1D1A">
      <w:pPr>
        <w:pStyle w:val="Prrafodelista"/>
        <w:numPr>
          <w:ilvl w:val="0"/>
          <w:numId w:val="4"/>
        </w:numPr>
        <w:spacing w:before="120" w:after="120" w:line="240" w:lineRule="auto"/>
        <w:ind w:left="714" w:hanging="357"/>
        <w:contextualSpacing w:val="0"/>
        <w:jc w:val="both"/>
        <w:rPr>
          <w:rFonts w:ascii="Tahoma" w:hAnsi="Tahoma" w:cs="Tahoma"/>
          <w:color w:val="000000"/>
        </w:rPr>
      </w:pPr>
      <w:r>
        <w:rPr>
          <w:rFonts w:ascii="Tahoma" w:hAnsi="Tahoma" w:cs="Tahoma"/>
          <w:color w:val="000000"/>
        </w:rPr>
        <w:t>Derechos de propiedad intelectual.</w:t>
      </w:r>
    </w:p>
    <w:p w:rsidR="00784629" w:rsidRDefault="009A1D1A">
      <w:pPr>
        <w:pStyle w:val="Prrafodelista"/>
        <w:numPr>
          <w:ilvl w:val="0"/>
          <w:numId w:val="4"/>
        </w:numPr>
        <w:spacing w:before="120" w:after="120" w:line="240" w:lineRule="auto"/>
        <w:ind w:left="714" w:hanging="357"/>
        <w:contextualSpacing w:val="0"/>
        <w:jc w:val="both"/>
        <w:rPr>
          <w:rFonts w:ascii="Tahoma" w:hAnsi="Tahoma" w:cs="Tahoma"/>
          <w:color w:val="000000"/>
        </w:rPr>
      </w:pPr>
      <w:r>
        <w:rPr>
          <w:rFonts w:ascii="Tahoma" w:hAnsi="Tahoma" w:cs="Tahoma"/>
          <w:color w:val="000000"/>
        </w:rPr>
        <w:t xml:space="preserve">Garantías bancarias o de otra institución financiera, siempre que sean exigidas por la legislación o por el Comité de Seguimiento. </w:t>
      </w:r>
    </w:p>
    <w:p w:rsidR="00784629" w:rsidRDefault="009A1D1A">
      <w:pPr>
        <w:pStyle w:val="Prrafodelista"/>
        <w:numPr>
          <w:ilvl w:val="0"/>
          <w:numId w:val="4"/>
        </w:numPr>
        <w:spacing w:before="120" w:after="120" w:line="240" w:lineRule="auto"/>
        <w:ind w:left="714" w:hanging="357"/>
        <w:contextualSpacing w:val="0"/>
        <w:jc w:val="both"/>
        <w:rPr>
          <w:rFonts w:ascii="Tahoma" w:hAnsi="Tahoma" w:cs="Tahoma"/>
          <w:color w:val="000000"/>
        </w:rPr>
      </w:pPr>
      <w:r>
        <w:rPr>
          <w:rFonts w:ascii="Tahoma" w:hAnsi="Tahoma" w:cs="Tahoma"/>
        </w:rPr>
        <w:t xml:space="preserve">Gastos de viaje y alojamiento de oradores, expertos externos, proveedores de servicios </w:t>
      </w:r>
      <w:r w:rsidRPr="0039114C">
        <w:rPr>
          <w:rFonts w:ascii="Tahoma" w:hAnsi="Tahoma" w:cs="Tahoma"/>
          <w:strike/>
          <w:highlight w:val="green"/>
        </w:rPr>
        <w:t>y destinatarios finales que participen en la consecución de los objetivos del proyecto*</w:t>
      </w:r>
      <w:r w:rsidRPr="0039114C">
        <w:rPr>
          <w:rFonts w:ascii="Tahoma" w:hAnsi="Tahoma" w:cs="Tahoma"/>
        </w:rPr>
        <w:t>.</w:t>
      </w:r>
    </w:p>
    <w:p w:rsidR="00784629" w:rsidRDefault="009A1D1A">
      <w:pPr>
        <w:pStyle w:val="Prrafodelista"/>
        <w:numPr>
          <w:ilvl w:val="0"/>
          <w:numId w:val="4"/>
        </w:numPr>
        <w:spacing w:before="120" w:after="120" w:line="240" w:lineRule="auto"/>
        <w:ind w:left="714" w:hanging="357"/>
        <w:contextualSpacing w:val="0"/>
        <w:jc w:val="both"/>
        <w:rPr>
          <w:rFonts w:ascii="Tahoma" w:hAnsi="Tahoma" w:cs="Tahoma"/>
        </w:rPr>
      </w:pPr>
      <w:r>
        <w:rPr>
          <w:rFonts w:ascii="Tahoma" w:hAnsi="Tahoma" w:cs="Tahoma"/>
        </w:rPr>
        <w:t>Gastos de viaje y alojamiento del personal de las entidades socias de los terceros países africanos en los proyectos y participantes asociados.</w:t>
      </w:r>
    </w:p>
    <w:p w:rsidR="00784629" w:rsidRDefault="009A1D1A">
      <w:pPr>
        <w:pStyle w:val="Prrafodelista"/>
        <w:numPr>
          <w:ilvl w:val="0"/>
          <w:numId w:val="4"/>
        </w:numPr>
        <w:tabs>
          <w:tab w:val="right" w:pos="8504"/>
        </w:tabs>
        <w:spacing w:before="120" w:after="120" w:line="240" w:lineRule="auto"/>
        <w:ind w:left="714" w:hanging="357"/>
        <w:contextualSpacing w:val="0"/>
        <w:jc w:val="both"/>
        <w:rPr>
          <w:rFonts w:ascii="Tahoma" w:hAnsi="Tahoma" w:cs="Tahoma"/>
        </w:rPr>
      </w:pPr>
      <w:r>
        <w:rPr>
          <w:rFonts w:ascii="Tahoma" w:hAnsi="Tahoma" w:cs="Tahoma"/>
        </w:rPr>
        <w:t>Otros servicios y conocimientos especializados necesarios para la realización de las actividades del proyecto.</w:t>
      </w:r>
    </w:p>
    <w:p w:rsidR="00784629" w:rsidRPr="0039114C" w:rsidRDefault="009A1D1A">
      <w:pPr>
        <w:tabs>
          <w:tab w:val="left" w:pos="2759"/>
        </w:tabs>
        <w:spacing w:after="0" w:line="240" w:lineRule="auto"/>
        <w:jc w:val="both"/>
        <w:rPr>
          <w:strike/>
          <w:highlight w:val="green"/>
        </w:rPr>
      </w:pPr>
      <w:r w:rsidRPr="0039114C">
        <w:rPr>
          <w:rFonts w:ascii="Tahoma" w:hAnsi="Tahoma" w:cs="Tahoma"/>
          <w:strike/>
          <w:highlight w:val="green"/>
        </w:rPr>
        <w:t>(*) Las ayudas/servicios que reciban las empresas por su participación en actividades de los proyectos de cooperación serán compatibles con el mercado interior, según los requisitos establecidos en el artículo 20 bis del Reglamento (UE) 651/2014 de la Comisión, por el que se declaran determinadas categorías de ayudas compatibles con el mercado interior en aplicación de los artículos 107 y 108 del Tratado.</w:t>
      </w:r>
    </w:p>
    <w:p w:rsidR="00784629" w:rsidRPr="0039114C" w:rsidRDefault="00784629">
      <w:pPr>
        <w:tabs>
          <w:tab w:val="left" w:pos="2759"/>
        </w:tabs>
        <w:spacing w:after="0" w:line="240" w:lineRule="auto"/>
        <w:jc w:val="both"/>
        <w:rPr>
          <w:rFonts w:ascii="Tahoma" w:hAnsi="Tahoma" w:cs="Tahoma"/>
          <w:strike/>
          <w:highlight w:val="green"/>
        </w:rPr>
      </w:pPr>
    </w:p>
    <w:p w:rsidR="00784629" w:rsidRPr="0039114C" w:rsidRDefault="009A1D1A">
      <w:pPr>
        <w:tabs>
          <w:tab w:val="left" w:pos="2759"/>
        </w:tabs>
        <w:spacing w:after="0" w:line="240" w:lineRule="auto"/>
        <w:jc w:val="both"/>
        <w:rPr>
          <w:strike/>
          <w:highlight w:val="green"/>
        </w:rPr>
      </w:pPr>
      <w:r w:rsidRPr="0039114C">
        <w:rPr>
          <w:rFonts w:ascii="Tahoma" w:hAnsi="Tahoma" w:cs="Tahoma"/>
          <w:strike/>
          <w:highlight w:val="green"/>
        </w:rPr>
        <w:t>Las ayudas indirectas que se incluyen aquí son por ejemplo la formación, asesoramiento, utilización de instalaciones y pago de gastos en general a empresas que participen en las acciones llevadas a cabo por el socio FEDER.</w:t>
      </w:r>
    </w:p>
    <w:p w:rsidR="00784629" w:rsidRPr="0039114C" w:rsidRDefault="00784629">
      <w:pPr>
        <w:tabs>
          <w:tab w:val="left" w:pos="2759"/>
        </w:tabs>
        <w:spacing w:after="0" w:line="240" w:lineRule="auto"/>
        <w:jc w:val="both"/>
        <w:rPr>
          <w:rFonts w:ascii="Tahoma" w:hAnsi="Tahoma" w:cs="Tahoma"/>
          <w:strike/>
          <w:highlight w:val="green"/>
        </w:rPr>
      </w:pPr>
    </w:p>
    <w:p w:rsidR="00784629" w:rsidRPr="0039114C" w:rsidRDefault="009A1D1A">
      <w:pPr>
        <w:tabs>
          <w:tab w:val="left" w:pos="2759"/>
        </w:tabs>
        <w:spacing w:after="0" w:line="240" w:lineRule="auto"/>
        <w:jc w:val="both"/>
        <w:rPr>
          <w:strike/>
          <w:highlight w:val="green"/>
        </w:rPr>
      </w:pPr>
      <w:r w:rsidRPr="0039114C">
        <w:rPr>
          <w:rFonts w:ascii="Tahoma" w:hAnsi="Tahoma" w:cs="Tahoma"/>
          <w:strike/>
          <w:highlight w:val="green"/>
        </w:rPr>
        <w:t xml:space="preserve">De acuerdo con el apartado 2. del mencionado artículo </w:t>
      </w:r>
      <w:r w:rsidRPr="0039114C">
        <w:rPr>
          <w:rFonts w:ascii="Tahoma" w:hAnsi="Tahoma" w:cs="Tahoma"/>
          <w:i/>
          <w:strike/>
          <w:highlight w:val="green"/>
        </w:rPr>
        <w:t>“el importe total de la ayuda concedida a una empresa por proyecto no excederá de 22.000 EUR.”</w:t>
      </w:r>
    </w:p>
    <w:p w:rsidR="00784629" w:rsidRPr="0039114C" w:rsidRDefault="00784629">
      <w:pPr>
        <w:tabs>
          <w:tab w:val="left" w:pos="2759"/>
        </w:tabs>
        <w:spacing w:after="0" w:line="240" w:lineRule="auto"/>
        <w:jc w:val="both"/>
        <w:rPr>
          <w:rFonts w:ascii="Tahoma" w:hAnsi="Tahoma" w:cs="Tahoma"/>
          <w:i/>
          <w:strike/>
          <w:highlight w:val="green"/>
        </w:rPr>
      </w:pPr>
    </w:p>
    <w:p w:rsidR="00784629" w:rsidRPr="0039114C" w:rsidRDefault="009A1D1A">
      <w:pPr>
        <w:tabs>
          <w:tab w:val="left" w:pos="2759"/>
        </w:tabs>
        <w:spacing w:after="0" w:line="240" w:lineRule="auto"/>
        <w:jc w:val="both"/>
        <w:rPr>
          <w:strike/>
          <w:highlight w:val="green"/>
        </w:rPr>
      </w:pPr>
      <w:r w:rsidRPr="0039114C">
        <w:rPr>
          <w:rFonts w:ascii="Tahoma" w:hAnsi="Tahoma" w:cs="Tahoma"/>
          <w:strike/>
          <w:highlight w:val="green"/>
        </w:rPr>
        <w:t xml:space="preserve">Para dar cumplimiento a esta obligación, el beneficiario FEDER del proyecto deberá remitir a la empresa una comunicación en la que se le informe de que la ayuda que percibe tiene la consideración de </w:t>
      </w:r>
      <w:r w:rsidRPr="0039114C">
        <w:rPr>
          <w:rFonts w:ascii="Tahoma" w:hAnsi="Tahoma" w:cs="Tahoma"/>
          <w:b/>
          <w:bCs/>
          <w:strike/>
          <w:highlight w:val="green"/>
        </w:rPr>
        <w:t>Ayuda de Estado</w:t>
      </w:r>
      <w:r w:rsidRPr="0039114C">
        <w:rPr>
          <w:rFonts w:ascii="Tahoma" w:hAnsi="Tahoma" w:cs="Tahoma"/>
          <w:strike/>
          <w:highlight w:val="green"/>
        </w:rPr>
        <w:t xml:space="preserve"> (Anexo I).</w:t>
      </w:r>
    </w:p>
    <w:p w:rsidR="00784629" w:rsidRPr="0039114C" w:rsidRDefault="00784629">
      <w:pPr>
        <w:tabs>
          <w:tab w:val="left" w:pos="2759"/>
        </w:tabs>
        <w:spacing w:after="0" w:line="240" w:lineRule="auto"/>
        <w:jc w:val="both"/>
        <w:rPr>
          <w:rFonts w:ascii="Tahoma" w:hAnsi="Tahoma" w:cs="Tahoma"/>
          <w:strike/>
          <w:highlight w:val="green"/>
        </w:rPr>
      </w:pPr>
    </w:p>
    <w:p w:rsidR="00784629" w:rsidRPr="0039114C" w:rsidRDefault="009A1D1A">
      <w:pPr>
        <w:tabs>
          <w:tab w:val="left" w:pos="2759"/>
        </w:tabs>
        <w:spacing w:after="0" w:line="240" w:lineRule="auto"/>
        <w:jc w:val="both"/>
        <w:rPr>
          <w:strike/>
          <w:highlight w:val="green"/>
        </w:rPr>
      </w:pPr>
      <w:r w:rsidRPr="0039114C">
        <w:rPr>
          <w:rFonts w:ascii="Tahoma" w:hAnsi="Tahoma" w:cs="Tahoma"/>
          <w:strike/>
          <w:highlight w:val="green"/>
        </w:rPr>
        <w:t>Asimismo, la empresa receptora de dicha ayuda deberá comunicar al beneficiario FEDER cualquier otra ayuda de Estado acogida a este artículo por proyecto, indicando su naturaleza y el importe correspondiente (Anexo II).</w:t>
      </w:r>
    </w:p>
    <w:p w:rsidR="00784629" w:rsidRPr="0039114C" w:rsidRDefault="00784629">
      <w:pPr>
        <w:tabs>
          <w:tab w:val="left" w:pos="2759"/>
        </w:tabs>
        <w:spacing w:after="0" w:line="240" w:lineRule="auto"/>
        <w:jc w:val="both"/>
        <w:rPr>
          <w:rFonts w:ascii="Tahoma" w:hAnsi="Tahoma" w:cs="Tahoma"/>
          <w:strike/>
          <w:highlight w:val="green"/>
        </w:rPr>
      </w:pPr>
    </w:p>
    <w:p w:rsidR="00784629" w:rsidRDefault="009A1D1A">
      <w:pPr>
        <w:tabs>
          <w:tab w:val="left" w:pos="2759"/>
        </w:tabs>
        <w:spacing w:after="0" w:line="240" w:lineRule="auto"/>
        <w:jc w:val="both"/>
        <w:rPr>
          <w:strike/>
        </w:rPr>
      </w:pPr>
      <w:r w:rsidRPr="0039114C">
        <w:rPr>
          <w:rFonts w:ascii="Tahoma" w:hAnsi="Tahoma" w:cs="Tahoma"/>
          <w:strike/>
          <w:highlight w:val="green"/>
        </w:rPr>
        <w:t>Los beneficiarios FEDER serán los responsables del cumplimiento de los requisitos establecidos en el mencionado Reglamento.</w:t>
      </w:r>
    </w:p>
    <w:p w:rsidR="00784629" w:rsidRPr="0039114C" w:rsidRDefault="00784629" w:rsidP="0039114C">
      <w:pPr>
        <w:tabs>
          <w:tab w:val="left" w:pos="1943"/>
        </w:tabs>
        <w:spacing w:after="0" w:line="240" w:lineRule="auto"/>
        <w:jc w:val="both"/>
        <w:rPr>
          <w:rFonts w:ascii="Tahoma" w:hAnsi="Tahoma" w:cs="Tahoma"/>
          <w:color w:val="00B0F0"/>
        </w:rPr>
      </w:pPr>
    </w:p>
    <w:p w:rsidR="00784629" w:rsidRDefault="009A1D1A">
      <w:pPr>
        <w:pStyle w:val="Prrafodelista"/>
        <w:numPr>
          <w:ilvl w:val="0"/>
          <w:numId w:val="3"/>
        </w:numPr>
        <w:tabs>
          <w:tab w:val="left" w:pos="1943"/>
        </w:tabs>
        <w:spacing w:after="0" w:line="240" w:lineRule="auto"/>
        <w:jc w:val="both"/>
        <w:rPr>
          <w:rFonts w:ascii="Tahoma" w:hAnsi="Tahoma" w:cs="Tahoma"/>
          <w:color w:val="00B0F0"/>
        </w:rPr>
      </w:pPr>
      <w:r>
        <w:rPr>
          <w:rFonts w:ascii="Tahoma" w:hAnsi="Tahoma" w:cs="Tahoma"/>
          <w:b/>
          <w:bCs/>
          <w:color w:val="4E81BC"/>
        </w:rPr>
        <w:t xml:space="preserve">MODALIDAD DE DECLARACIÓN </w:t>
      </w:r>
    </w:p>
    <w:p w:rsidR="00784629" w:rsidRDefault="00784629">
      <w:pPr>
        <w:pStyle w:val="Prrafodelista"/>
        <w:spacing w:after="0" w:line="240" w:lineRule="auto"/>
        <w:rPr>
          <w:rFonts w:ascii="Tahoma" w:hAnsi="Tahoma" w:cs="Tahoma"/>
          <w:color w:val="4E81BC"/>
        </w:rPr>
      </w:pPr>
    </w:p>
    <w:p w:rsidR="00784629" w:rsidRDefault="009A1D1A">
      <w:pPr>
        <w:spacing w:after="0" w:line="240" w:lineRule="auto"/>
        <w:jc w:val="both"/>
        <w:rPr>
          <w:rFonts w:ascii="Tahoma" w:hAnsi="Tahoma" w:cs="Tahoma"/>
          <w:color w:val="000000"/>
        </w:rPr>
      </w:pPr>
      <w:r>
        <w:rPr>
          <w:rFonts w:ascii="Tahoma" w:hAnsi="Tahoma" w:cs="Tahoma"/>
          <w:color w:val="000000"/>
        </w:rPr>
        <w:t xml:space="preserve">Los gastos por servicios y asesoramientos externos serán declarados en función de su </w:t>
      </w:r>
      <w:r>
        <w:rPr>
          <w:rFonts w:ascii="Tahoma" w:hAnsi="Tahoma" w:cs="Tahoma"/>
          <w:b/>
          <w:color w:val="000000"/>
        </w:rPr>
        <w:t>coste real.</w:t>
      </w:r>
    </w:p>
    <w:p w:rsidR="00784629" w:rsidRDefault="009A1D1A">
      <w:pPr>
        <w:tabs>
          <w:tab w:val="left" w:pos="7545"/>
        </w:tabs>
        <w:spacing w:after="0" w:line="240" w:lineRule="auto"/>
        <w:jc w:val="both"/>
        <w:rPr>
          <w:rFonts w:ascii="Tahoma" w:hAnsi="Tahoma" w:cs="Tahoma"/>
          <w:color w:val="000000"/>
        </w:rPr>
      </w:pPr>
      <w:r>
        <w:rPr>
          <w:rFonts w:ascii="Tahoma" w:hAnsi="Tahoma" w:cs="Tahoma"/>
          <w:color w:val="000000"/>
        </w:rPr>
        <w:tab/>
      </w:r>
    </w:p>
    <w:p w:rsidR="00784629" w:rsidRDefault="00784629">
      <w:pPr>
        <w:spacing w:after="0" w:line="240" w:lineRule="auto"/>
        <w:rPr>
          <w:rFonts w:ascii="Tahoma" w:hAnsi="Tahoma" w:cs="Tahoma"/>
          <w:color w:val="000000"/>
        </w:rPr>
      </w:pPr>
    </w:p>
    <w:p w:rsidR="00784629" w:rsidRDefault="009A1D1A">
      <w:pPr>
        <w:pStyle w:val="Prrafodelista"/>
        <w:numPr>
          <w:ilvl w:val="0"/>
          <w:numId w:val="3"/>
        </w:numPr>
        <w:spacing w:after="0" w:line="240" w:lineRule="auto"/>
        <w:rPr>
          <w:rFonts w:ascii="Tahoma" w:hAnsi="Tahoma" w:cs="Tahoma"/>
          <w:b/>
          <w:bCs/>
          <w:color w:val="4E81BC"/>
        </w:rPr>
      </w:pPr>
      <w:r>
        <w:rPr>
          <w:rFonts w:ascii="Tahoma" w:hAnsi="Tahoma" w:cs="Tahoma"/>
          <w:b/>
          <w:bCs/>
          <w:color w:val="4E81BC"/>
        </w:rPr>
        <w:t xml:space="preserve"> PROHIBICIONES Y LIMITACIONES</w:t>
      </w:r>
    </w:p>
    <w:p w:rsidR="00784629" w:rsidRDefault="00784629">
      <w:pPr>
        <w:pStyle w:val="Prrafodelista"/>
        <w:spacing w:after="0" w:line="240" w:lineRule="auto"/>
        <w:jc w:val="both"/>
        <w:rPr>
          <w:rFonts w:ascii="Tahoma" w:hAnsi="Tahoma" w:cs="Tahoma"/>
          <w:color w:val="FF0000"/>
        </w:rPr>
      </w:pPr>
    </w:p>
    <w:p w:rsidR="00784629" w:rsidRDefault="009A1D1A" w:rsidP="009A1D1A">
      <w:pPr>
        <w:pStyle w:val="Prrafodelista"/>
        <w:numPr>
          <w:ilvl w:val="0"/>
          <w:numId w:val="5"/>
        </w:numPr>
        <w:spacing w:after="0" w:line="240" w:lineRule="auto"/>
        <w:ind w:left="426"/>
        <w:jc w:val="both"/>
        <w:rPr>
          <w:rFonts w:ascii="Tahoma" w:hAnsi="Tahoma" w:cs="Tahoma"/>
        </w:rPr>
      </w:pPr>
      <w:r>
        <w:rPr>
          <w:rFonts w:ascii="Tahoma" w:hAnsi="Tahoma" w:cs="Tahoma"/>
          <w:b/>
          <w:bCs/>
        </w:rPr>
        <w:lastRenderedPageBreak/>
        <w:t xml:space="preserve">Se prohíbe la contratación de trabajadores/as </w:t>
      </w:r>
      <w:r>
        <w:rPr>
          <w:rFonts w:ascii="Tahoma" w:hAnsi="Tahoma" w:cs="Tahoma"/>
        </w:rPr>
        <w:t>de</w:t>
      </w:r>
      <w:r>
        <w:rPr>
          <w:rFonts w:ascii="Tahoma" w:hAnsi="Tahoma" w:cs="Tahoma"/>
          <w:b/>
          <w:bCs/>
        </w:rPr>
        <w:t xml:space="preserve"> </w:t>
      </w:r>
      <w:r>
        <w:rPr>
          <w:rFonts w:ascii="Tahoma" w:hAnsi="Tahoma" w:cs="Tahoma"/>
        </w:rPr>
        <w:t xml:space="preserve">alguna de las </w:t>
      </w:r>
      <w:r>
        <w:rPr>
          <w:rFonts w:ascii="Tahoma" w:hAnsi="Tahoma" w:cs="Tahoma"/>
          <w:b/>
          <w:bCs/>
        </w:rPr>
        <w:t>entidades beneficiarias o asociadas</w:t>
      </w:r>
      <w:r>
        <w:rPr>
          <w:rFonts w:ascii="Tahoma" w:hAnsi="Tahoma" w:cs="Tahoma"/>
        </w:rPr>
        <w:t xml:space="preserve"> al proyecto </w:t>
      </w:r>
      <w:r>
        <w:rPr>
          <w:rFonts w:ascii="Tahoma" w:hAnsi="Tahoma" w:cs="Tahoma"/>
          <w:b/>
          <w:bCs/>
        </w:rPr>
        <w:t xml:space="preserve">como prestadores de servicios externos </w:t>
      </w:r>
      <w:r>
        <w:rPr>
          <w:rFonts w:ascii="Tahoma" w:hAnsi="Tahoma" w:cs="Tahoma"/>
        </w:rPr>
        <w:t xml:space="preserve">en el marco del proyecto. </w:t>
      </w:r>
    </w:p>
    <w:p w:rsidR="00784629" w:rsidRDefault="00784629">
      <w:pPr>
        <w:pStyle w:val="Prrafodelista"/>
        <w:spacing w:after="0" w:line="240" w:lineRule="auto"/>
        <w:jc w:val="both"/>
        <w:rPr>
          <w:rFonts w:ascii="Tahoma" w:hAnsi="Tahoma" w:cs="Tahoma"/>
        </w:rPr>
      </w:pPr>
    </w:p>
    <w:p w:rsidR="00784629" w:rsidRDefault="009A1D1A">
      <w:pPr>
        <w:pStyle w:val="Prrafodelista"/>
        <w:numPr>
          <w:ilvl w:val="0"/>
          <w:numId w:val="5"/>
        </w:numPr>
        <w:spacing w:after="0" w:line="240" w:lineRule="auto"/>
        <w:jc w:val="both"/>
        <w:rPr>
          <w:rFonts w:ascii="Tahoma" w:hAnsi="Tahoma" w:cs="Tahoma"/>
        </w:rPr>
      </w:pPr>
      <w:r>
        <w:rPr>
          <w:rFonts w:ascii="Tahoma" w:hAnsi="Tahoma" w:cs="Tahoma"/>
          <w:b/>
          <w:bCs/>
        </w:rPr>
        <w:t xml:space="preserve">Se prohíbe la contratación </w:t>
      </w:r>
      <w:r>
        <w:rPr>
          <w:rFonts w:ascii="Tahoma" w:hAnsi="Tahoma" w:cs="Tahoma"/>
        </w:rPr>
        <w:t xml:space="preserve">entre </w:t>
      </w:r>
      <w:r>
        <w:rPr>
          <w:rFonts w:ascii="Tahoma" w:hAnsi="Tahoma" w:cs="Tahoma"/>
          <w:b/>
          <w:bCs/>
        </w:rPr>
        <w:t>empresas vinculadas</w:t>
      </w:r>
      <w:r>
        <w:rPr>
          <w:rFonts w:ascii="Tahoma" w:hAnsi="Tahoma" w:cs="Tahoma"/>
        </w:rPr>
        <w:t xml:space="preserve">. </w:t>
      </w:r>
    </w:p>
    <w:p w:rsidR="00784629" w:rsidRDefault="00784629">
      <w:pPr>
        <w:rPr>
          <w:rFonts w:ascii="Tahoma" w:hAnsi="Tahoma" w:cs="Tahoma"/>
          <w:color w:val="000000"/>
        </w:rPr>
      </w:pPr>
    </w:p>
    <w:p w:rsidR="00784629" w:rsidRDefault="009A1D1A">
      <w:pPr>
        <w:pStyle w:val="Prrafodelista"/>
        <w:numPr>
          <w:ilvl w:val="0"/>
          <w:numId w:val="3"/>
        </w:numPr>
        <w:spacing w:after="0" w:line="240" w:lineRule="auto"/>
        <w:jc w:val="both"/>
        <w:rPr>
          <w:rFonts w:ascii="Tahoma" w:hAnsi="Tahoma" w:cs="Tahoma"/>
          <w:b/>
          <w:color w:val="4E81BC"/>
        </w:rPr>
      </w:pPr>
      <w:r>
        <w:rPr>
          <w:rFonts w:ascii="Tahoma" w:hAnsi="Tahoma" w:cs="Tahoma"/>
          <w:b/>
          <w:color w:val="4E81BC"/>
        </w:rPr>
        <w:t>PISTA DE AUDITORÍA</w:t>
      </w:r>
      <w:r>
        <w:rPr>
          <w:b/>
        </w:rPr>
        <w:tab/>
      </w:r>
    </w:p>
    <w:p w:rsidR="00784629" w:rsidRDefault="00784629">
      <w:pPr>
        <w:pStyle w:val="Prrafodelista"/>
        <w:spacing w:after="0" w:line="240" w:lineRule="auto"/>
        <w:ind w:left="360"/>
        <w:jc w:val="both"/>
        <w:rPr>
          <w:rFonts w:ascii="Tahoma" w:hAnsi="Tahoma" w:cs="Tahoma"/>
          <w:b/>
          <w:color w:val="4E81BC"/>
        </w:rPr>
      </w:pPr>
    </w:p>
    <w:p w:rsidR="00784629" w:rsidRDefault="009A1D1A">
      <w:pPr>
        <w:pStyle w:val="Prrafodelista"/>
        <w:spacing w:after="0" w:line="240" w:lineRule="auto"/>
        <w:rPr>
          <w:rFonts w:ascii="Tahoma" w:hAnsi="Tahoma" w:cs="Tahoma"/>
          <w:color w:val="000000"/>
        </w:rPr>
      </w:pPr>
      <w:r>
        <w:rPr>
          <w:rFonts w:ascii="Tahoma" w:hAnsi="Tahoma" w:cs="Tahoma"/>
          <w:color w:val="000000"/>
        </w:rPr>
        <w:t xml:space="preserve">A efectos de control, los documentos justificativos de los servicios externos que deben formar parte de la </w:t>
      </w:r>
      <w:r>
        <w:rPr>
          <w:rFonts w:ascii="Tahoma" w:hAnsi="Tahoma" w:cs="Tahoma"/>
          <w:b/>
          <w:bCs/>
          <w:color w:val="000000"/>
        </w:rPr>
        <w:t xml:space="preserve">pista de auditoría </w:t>
      </w:r>
      <w:r>
        <w:rPr>
          <w:rFonts w:ascii="Tahoma" w:hAnsi="Tahoma" w:cs="Tahoma"/>
          <w:color w:val="000000"/>
        </w:rPr>
        <w:t>son:</w:t>
      </w:r>
    </w:p>
    <w:p w:rsidR="00784629" w:rsidRDefault="00784629">
      <w:pPr>
        <w:pStyle w:val="Prrafodelista"/>
        <w:spacing w:after="0" w:line="240" w:lineRule="auto"/>
        <w:rPr>
          <w:rFonts w:ascii="Tahoma" w:hAnsi="Tahoma" w:cs="Tahoma"/>
          <w:color w:val="000000"/>
        </w:rPr>
      </w:pPr>
    </w:p>
    <w:p w:rsidR="00784629" w:rsidRDefault="009A1D1A">
      <w:pPr>
        <w:shd w:val="clear" w:color="auto" w:fill="FFFFFF"/>
        <w:spacing w:after="100" w:line="240" w:lineRule="auto"/>
        <w:jc w:val="both"/>
        <w:rPr>
          <w:rFonts w:ascii="Tahoma" w:eastAsia="Times New Roman" w:hAnsi="Tahoma" w:cs="Tahoma"/>
          <w:lang w:eastAsia="es-ES"/>
        </w:rPr>
      </w:pPr>
      <w:r>
        <w:rPr>
          <w:rFonts w:ascii="Wingdings" w:hAnsi="Wingdings" w:cs="Wingdings"/>
          <w:color w:val="000000"/>
        </w:rPr>
        <w:t></w:t>
      </w:r>
      <w:r>
        <w:rPr>
          <w:rFonts w:ascii="Wingdings" w:hAnsi="Wingdings" w:cs="Wingdings"/>
          <w:color w:val="000000"/>
        </w:rPr>
        <w:t></w:t>
      </w:r>
      <w:r>
        <w:rPr>
          <w:rFonts w:ascii="Tahoma" w:hAnsi="Tahoma" w:cs="Tahoma"/>
          <w:b/>
          <w:bCs/>
          <w:color w:val="000000"/>
        </w:rPr>
        <w:t xml:space="preserve">Factura, recibo y pago </w:t>
      </w:r>
      <w:r>
        <w:rPr>
          <w:rFonts w:ascii="Tahoma" w:hAnsi="Tahoma" w:cs="Tahoma"/>
          <w:color w:val="000000"/>
        </w:rPr>
        <w:t xml:space="preserve">o documentos contables de valor probatorio equivalente. </w:t>
      </w:r>
      <w:r>
        <w:rPr>
          <w:rFonts w:ascii="Tahoma" w:eastAsia="Times New Roman" w:hAnsi="Tahoma" w:cs="Tahoma"/>
          <w:color w:val="000000" w:themeColor="text1"/>
          <w:lang w:eastAsia="es-ES"/>
        </w:rPr>
        <w:t xml:space="preserve">Factura, recibo y pago o documentos contables de valor probatorio equivalente. </w:t>
      </w:r>
      <w:r>
        <w:rPr>
          <w:rFonts w:ascii="Tahoma" w:eastAsia="Times New Roman" w:hAnsi="Tahoma" w:cs="Tahoma"/>
          <w:lang w:eastAsia="es-ES"/>
        </w:rPr>
        <w:t xml:space="preserve">El pago de la retención del IRPF se podrá aportar en el periodo de declaración donde haya sido pagado, independientemente de la fecha de pago de la factura de origen, siempre que se identifique claramente el gasto al que está vinculado detallando el número de gasto, declaración y número de factura al que se refiere. También se podrá aportar y justificar su pago en la fase de requerimiento. </w:t>
      </w:r>
    </w:p>
    <w:p w:rsidR="00784629" w:rsidRDefault="009A1D1A" w:rsidP="009A1D1A">
      <w:pPr>
        <w:pStyle w:val="Prrafodelista"/>
        <w:numPr>
          <w:ilvl w:val="0"/>
          <w:numId w:val="7"/>
        </w:numPr>
        <w:shd w:val="clear" w:color="auto" w:fill="FFFFFF"/>
        <w:spacing w:after="100" w:line="240" w:lineRule="auto"/>
        <w:ind w:left="426" w:hanging="425"/>
        <w:jc w:val="both"/>
        <w:rPr>
          <w:rFonts w:ascii="Tahoma" w:eastAsia="Times New Roman" w:hAnsi="Tahoma" w:cs="Tahoma"/>
          <w:color w:val="000000" w:themeColor="text1"/>
          <w:lang w:eastAsia="es-ES"/>
        </w:rPr>
      </w:pPr>
      <w:r>
        <w:rPr>
          <w:rFonts w:ascii="Tahoma" w:hAnsi="Tahoma" w:cs="Tahoma"/>
          <w:b/>
          <w:color w:val="000000"/>
        </w:rPr>
        <w:t>Evidencia de la realización del servicio</w:t>
      </w:r>
      <w:r>
        <w:rPr>
          <w:rFonts w:ascii="Tahoma" w:hAnsi="Tahoma" w:cs="Tahoma"/>
          <w:color w:val="000000"/>
        </w:rPr>
        <w:t xml:space="preserve"> objeto de contrato, por ejemplo:</w:t>
      </w:r>
    </w:p>
    <w:p w:rsidR="00784629" w:rsidRDefault="00784629">
      <w:pPr>
        <w:pStyle w:val="Prrafodelista"/>
        <w:spacing w:after="0" w:line="240" w:lineRule="auto"/>
        <w:ind w:left="709"/>
        <w:jc w:val="both"/>
        <w:rPr>
          <w:rFonts w:ascii="Tahoma" w:hAnsi="Tahoma" w:cs="Tahoma"/>
          <w:color w:val="000000"/>
        </w:rPr>
      </w:pPr>
    </w:p>
    <w:p w:rsidR="00784629" w:rsidRDefault="009A1D1A">
      <w:pPr>
        <w:numPr>
          <w:ilvl w:val="0"/>
          <w:numId w:val="2"/>
        </w:numPr>
        <w:spacing w:after="0" w:line="240" w:lineRule="auto"/>
        <w:jc w:val="both"/>
        <w:rPr>
          <w:rFonts w:ascii="Tahoma" w:hAnsi="Tahoma" w:cs="Tahoma"/>
        </w:rPr>
      </w:pPr>
      <w:r>
        <w:rPr>
          <w:rFonts w:ascii="Tahoma" w:hAnsi="Tahoma" w:cs="Tahoma"/>
        </w:rPr>
        <w:t>Copia de los estudios cuyo gasto se certifica, informes o documentos preliminares o resúmenes (en coherencia con lo establecido en el plan financiero del respectivo contrato);</w:t>
      </w:r>
    </w:p>
    <w:p w:rsidR="00784629" w:rsidRDefault="009A1D1A">
      <w:pPr>
        <w:numPr>
          <w:ilvl w:val="0"/>
          <w:numId w:val="2"/>
        </w:numPr>
        <w:spacing w:after="0" w:line="240" w:lineRule="auto"/>
        <w:jc w:val="both"/>
        <w:rPr>
          <w:rFonts w:ascii="Tahoma" w:hAnsi="Tahoma" w:cs="Tahoma"/>
        </w:rPr>
      </w:pPr>
      <w:r>
        <w:rPr>
          <w:rFonts w:ascii="Tahoma" w:hAnsi="Tahoma" w:cs="Tahoma"/>
        </w:rPr>
        <w:t>Documentación acreditativa de reuniones y eventos (programa, fotografías, listado de asistentes, etc.);</w:t>
      </w:r>
    </w:p>
    <w:p w:rsidR="00784629" w:rsidRDefault="009A1D1A">
      <w:pPr>
        <w:numPr>
          <w:ilvl w:val="0"/>
          <w:numId w:val="2"/>
        </w:numPr>
        <w:spacing w:after="0" w:line="240" w:lineRule="auto"/>
        <w:jc w:val="both"/>
        <w:rPr>
          <w:rFonts w:ascii="Tahoma" w:hAnsi="Tahoma" w:cs="Tahoma"/>
        </w:rPr>
      </w:pPr>
      <w:r>
        <w:rPr>
          <w:rFonts w:ascii="Tahoma" w:hAnsi="Tahoma" w:cs="Tahoma"/>
        </w:rPr>
        <w:t>Ejemplares de los materiales de promoción cuyo gasto se certifica (ejemplares de las publicaciones, copias del material audiovisual, fotografías de las exposiciones, etc.);</w:t>
      </w:r>
    </w:p>
    <w:p w:rsidR="00784629" w:rsidRDefault="009A1D1A">
      <w:pPr>
        <w:numPr>
          <w:ilvl w:val="0"/>
          <w:numId w:val="2"/>
        </w:numPr>
        <w:spacing w:after="0" w:line="240" w:lineRule="auto"/>
        <w:jc w:val="both"/>
        <w:rPr>
          <w:rFonts w:ascii="Tahoma" w:hAnsi="Tahoma" w:cs="Tahoma"/>
        </w:rPr>
      </w:pPr>
      <w:r>
        <w:rPr>
          <w:rFonts w:ascii="Tahoma" w:hAnsi="Tahoma" w:cs="Tahoma"/>
        </w:rPr>
        <w:t>Para beneficiarios portugueses, copia de recibos verdes u otros documentos de valor probatorio equivalente, así como comprobantes de su pago y de las retenciones del IRS;</w:t>
      </w:r>
    </w:p>
    <w:p w:rsidR="00784629" w:rsidRDefault="00784629">
      <w:pPr>
        <w:spacing w:after="0" w:line="240" w:lineRule="auto"/>
        <w:jc w:val="both"/>
        <w:rPr>
          <w:rFonts w:ascii="Tahoma" w:hAnsi="Tahoma" w:cs="Tahoma"/>
          <w:b/>
          <w:bCs/>
          <w:color w:val="000000"/>
        </w:rPr>
      </w:pPr>
    </w:p>
    <w:p w:rsidR="00784629" w:rsidRDefault="009A1D1A" w:rsidP="009A1D1A">
      <w:pPr>
        <w:pStyle w:val="Prrafodelista"/>
        <w:numPr>
          <w:ilvl w:val="0"/>
          <w:numId w:val="1"/>
        </w:numPr>
        <w:spacing w:after="0" w:line="240" w:lineRule="auto"/>
        <w:ind w:left="426" w:hanging="436"/>
        <w:jc w:val="both"/>
        <w:rPr>
          <w:rFonts w:ascii="Tahoma" w:hAnsi="Tahoma" w:cs="Tahoma"/>
          <w:color w:val="000000"/>
        </w:rPr>
      </w:pPr>
      <w:r>
        <w:rPr>
          <w:rFonts w:ascii="Tahoma" w:hAnsi="Tahoma" w:cs="Tahoma"/>
          <w:b/>
          <w:bCs/>
          <w:color w:val="000000"/>
        </w:rPr>
        <w:t>Expediente de contratación completo en caso de ser aplicable</w:t>
      </w:r>
      <w:r>
        <w:rPr>
          <w:rFonts w:ascii="Tahoma" w:hAnsi="Tahoma" w:cs="Tahoma"/>
          <w:color w:val="000000"/>
        </w:rPr>
        <w:t xml:space="preserve"> de acuerdo con la normativa, así como sus posibles modificaciones. En el caso de contratos con expertos pagados sobre la base de una tarifa diaria, debe figurar la tarifa diaria junto con el número de días contratados y el importe total del contrato. </w:t>
      </w:r>
    </w:p>
    <w:p w:rsidR="00784629" w:rsidRDefault="00784629">
      <w:pPr>
        <w:spacing w:after="0" w:line="240" w:lineRule="auto"/>
        <w:ind w:left="284"/>
        <w:jc w:val="both"/>
        <w:rPr>
          <w:rFonts w:ascii="Tahoma" w:hAnsi="Tahoma" w:cs="Tahoma"/>
          <w:color w:val="000000"/>
        </w:rPr>
      </w:pPr>
    </w:p>
    <w:p w:rsidR="00784629" w:rsidRDefault="009A1D1A" w:rsidP="009A1D1A">
      <w:pPr>
        <w:pStyle w:val="Prrafodelista"/>
        <w:numPr>
          <w:ilvl w:val="0"/>
          <w:numId w:val="1"/>
        </w:numPr>
        <w:spacing w:after="0" w:line="240" w:lineRule="auto"/>
        <w:ind w:left="426" w:hanging="436"/>
        <w:jc w:val="both"/>
        <w:rPr>
          <w:rFonts w:ascii="Tahoma" w:hAnsi="Tahoma" w:cs="Tahoma"/>
          <w:color w:val="000000"/>
        </w:rPr>
      </w:pPr>
      <w:r>
        <w:rPr>
          <w:rFonts w:ascii="Tahoma" w:hAnsi="Tahoma" w:cs="Tahoma"/>
          <w:color w:val="000000"/>
        </w:rPr>
        <w:t xml:space="preserve">Evidencias del cumplimiento de las </w:t>
      </w:r>
      <w:r>
        <w:rPr>
          <w:rFonts w:ascii="Tahoma" w:hAnsi="Tahoma" w:cs="Tahoma"/>
          <w:b/>
          <w:bCs/>
          <w:color w:val="000000"/>
        </w:rPr>
        <w:t xml:space="preserve">normas de Visibilidad, Transparencia y </w:t>
      </w:r>
      <w:r w:rsidRPr="00810ACD">
        <w:rPr>
          <w:rFonts w:ascii="Tahoma" w:hAnsi="Tahoma" w:cs="Tahoma"/>
          <w:b/>
          <w:bCs/>
          <w:color w:val="000000"/>
        </w:rPr>
        <w:t>Comunicación</w:t>
      </w:r>
      <w:r w:rsidRPr="00810ACD">
        <w:rPr>
          <w:rFonts w:ascii="Tahoma" w:hAnsi="Tahoma" w:cs="Tahoma"/>
          <w:color w:val="000000"/>
        </w:rPr>
        <w:t>, por ejemplo fotografías de los materiales (carteles,</w:t>
      </w:r>
      <w:r>
        <w:rPr>
          <w:rFonts w:ascii="Tahoma" w:hAnsi="Tahoma" w:cs="Tahoma"/>
          <w:color w:val="000000"/>
        </w:rPr>
        <w:t xml:space="preserve"> publicaciones, posters/roll-ups, etc.) con el logotipo obligatorio del programa y del proyecto.</w:t>
      </w:r>
    </w:p>
    <w:p w:rsidR="00784629" w:rsidRDefault="00784629">
      <w:pPr>
        <w:pStyle w:val="Prrafodelista"/>
        <w:rPr>
          <w:rFonts w:ascii="Tahoma" w:hAnsi="Tahoma" w:cs="Tahoma"/>
          <w:color w:val="000000"/>
        </w:rPr>
      </w:pPr>
    </w:p>
    <w:p w:rsidR="00784629" w:rsidRDefault="009A1D1A" w:rsidP="009A1D1A">
      <w:pPr>
        <w:pStyle w:val="Prrafodelista"/>
        <w:numPr>
          <w:ilvl w:val="0"/>
          <w:numId w:val="1"/>
        </w:numPr>
        <w:spacing w:after="0" w:line="240" w:lineRule="auto"/>
        <w:ind w:left="426" w:hanging="436"/>
        <w:jc w:val="both"/>
        <w:rPr>
          <w:rFonts w:ascii="Tahoma" w:hAnsi="Tahoma" w:cs="Tahoma"/>
          <w:bCs/>
          <w:highlight w:val="yellow"/>
        </w:rPr>
      </w:pPr>
      <w:r>
        <w:rPr>
          <w:rFonts w:ascii="Tahoma" w:hAnsi="Tahoma" w:cs="Tahoma"/>
          <w:color w:val="000000"/>
          <w:u w:val="single"/>
        </w:rPr>
        <w:t xml:space="preserve">Justificación de </w:t>
      </w:r>
      <w:r>
        <w:rPr>
          <w:rFonts w:ascii="Tahoma" w:hAnsi="Tahoma" w:cs="Tahoma"/>
          <w:b/>
          <w:color w:val="000000"/>
          <w:u w:val="single"/>
        </w:rPr>
        <w:t xml:space="preserve">gastos </w:t>
      </w:r>
      <w:r>
        <w:rPr>
          <w:rFonts w:ascii="Tahoma" w:hAnsi="Tahoma" w:cs="Tahoma"/>
          <w:b/>
          <w:u w:val="single"/>
        </w:rPr>
        <w:t xml:space="preserve">de viaje y alojamiento de oradores, expertos externos, proveedores de servicios, personal de las entidades socias de los países africanos, participantes asociados </w:t>
      </w:r>
      <w:r w:rsidRPr="00810ACD">
        <w:rPr>
          <w:rFonts w:ascii="Tahoma" w:hAnsi="Tahoma" w:cs="Tahoma"/>
          <w:b/>
          <w:strike/>
          <w:highlight w:val="green"/>
          <w:u w:val="single"/>
        </w:rPr>
        <w:t>y destinatarios finales de las ayudas/servicios.</w:t>
      </w:r>
    </w:p>
    <w:p w:rsidR="00784629" w:rsidRDefault="00784629">
      <w:pPr>
        <w:pStyle w:val="Prrafodelista"/>
        <w:rPr>
          <w:rFonts w:ascii="Tahoma" w:hAnsi="Tahoma" w:cs="Tahoma"/>
          <w:bCs/>
        </w:rPr>
      </w:pPr>
    </w:p>
    <w:p w:rsidR="00784629" w:rsidRDefault="009A1D1A" w:rsidP="009A1D1A">
      <w:pPr>
        <w:pStyle w:val="Prrafodelista"/>
        <w:spacing w:before="120" w:after="0" w:line="240" w:lineRule="auto"/>
        <w:ind w:left="426"/>
        <w:jc w:val="both"/>
        <w:rPr>
          <w:rFonts w:ascii="Tahoma" w:hAnsi="Tahoma" w:cs="Tahoma"/>
          <w:bCs/>
        </w:rPr>
      </w:pPr>
      <w:r>
        <w:rPr>
          <w:rFonts w:ascii="Tahoma" w:hAnsi="Tahoma" w:cs="Tahoma"/>
          <w:bCs/>
        </w:rPr>
        <w:t xml:space="preserve">Para la justificación de gastos de viaje y alojamiento </w:t>
      </w:r>
      <w:bookmarkStart w:id="0" w:name="_GoBack"/>
      <w:bookmarkEnd w:id="0"/>
      <w:r>
        <w:rPr>
          <w:rFonts w:ascii="Tahoma" w:hAnsi="Tahoma" w:cs="Tahoma"/>
          <w:bCs/>
        </w:rPr>
        <w:t xml:space="preserve">realizados en el marco del proyecto, </w:t>
      </w:r>
      <w:r>
        <w:rPr>
          <w:rFonts w:ascii="Tahoma" w:hAnsi="Tahoma" w:cs="Tahoma"/>
          <w:bCs/>
          <w:u w:val="single"/>
        </w:rPr>
        <w:t xml:space="preserve">será necesario adjuntar los mismos documentos que especifica la Ficha </w:t>
      </w:r>
      <w:r>
        <w:rPr>
          <w:rFonts w:ascii="Tahoma" w:hAnsi="Tahoma" w:cs="Tahoma"/>
          <w:bCs/>
          <w:u w:val="single"/>
        </w:rPr>
        <w:lastRenderedPageBreak/>
        <w:t>Técnica 3 para los gastos de viaje que se declaren a coste real (proyectos estratégicos).</w:t>
      </w:r>
      <w:r>
        <w:rPr>
          <w:rFonts w:ascii="Tahoma" w:hAnsi="Tahoma" w:cs="Tahoma"/>
          <w:bCs/>
        </w:rPr>
        <w:t xml:space="preserve"> </w:t>
      </w:r>
    </w:p>
    <w:p w:rsidR="00784629" w:rsidRDefault="009A1D1A" w:rsidP="009A1D1A">
      <w:pPr>
        <w:pStyle w:val="Textoindependiente22"/>
        <w:spacing w:before="120"/>
        <w:ind w:left="426"/>
        <w:rPr>
          <w:rFonts w:ascii="Tahoma" w:hAnsi="Tahoma" w:cs="Tahoma"/>
          <w:bCs/>
          <w:sz w:val="22"/>
          <w:szCs w:val="22"/>
        </w:rPr>
      </w:pPr>
      <w:r>
        <w:rPr>
          <w:rFonts w:ascii="Tahoma" w:hAnsi="Tahoma" w:cs="Tahoma"/>
          <w:bCs/>
          <w:sz w:val="22"/>
          <w:szCs w:val="22"/>
        </w:rPr>
        <w:t>No obstante, no serán elegibles dietas abonadas a expertos externos o prestadores de servicios. De los gastos de manutención que pudieran existir correspondientes a los socios de terceros países y/o participantes asociados, deberán constar facturas acreditativas de los mismos.</w:t>
      </w:r>
    </w:p>
    <w:p w:rsidR="00784629" w:rsidRPr="00AC6674" w:rsidRDefault="009A1D1A" w:rsidP="009A1D1A">
      <w:pPr>
        <w:pStyle w:val="Textoindependiente22"/>
        <w:numPr>
          <w:ilvl w:val="0"/>
          <w:numId w:val="11"/>
        </w:numPr>
        <w:spacing w:before="120"/>
        <w:ind w:left="426"/>
        <w:rPr>
          <w:rFonts w:ascii="Tahoma" w:hAnsi="Tahoma" w:cs="Tahoma"/>
          <w:bCs/>
          <w:strike/>
          <w:sz w:val="22"/>
          <w:szCs w:val="22"/>
          <w:highlight w:val="green"/>
          <w:shd w:val="clear" w:color="auto" w:fill="81D41A"/>
        </w:rPr>
      </w:pPr>
      <w:r w:rsidRPr="00AC6674">
        <w:rPr>
          <w:rFonts w:ascii="Tahoma" w:eastAsiaTheme="minorHAnsi" w:hAnsi="Tahoma" w:cs="Tahoma"/>
          <w:bCs/>
          <w:strike/>
          <w:sz w:val="22"/>
          <w:szCs w:val="22"/>
          <w:highlight w:val="green"/>
          <w:lang w:eastAsia="en-US"/>
        </w:rPr>
        <w:t>En el caso de destinatarios finales de ayudas/servicios que sean</w:t>
      </w:r>
      <w:r w:rsidRPr="00AC6674">
        <w:rPr>
          <w:rFonts w:ascii="Tahoma" w:hAnsi="Tahoma" w:cs="Tahoma"/>
          <w:b/>
          <w:strike/>
          <w:sz w:val="22"/>
          <w:szCs w:val="22"/>
          <w:highlight w:val="green"/>
        </w:rPr>
        <w:t xml:space="preserve"> empresas privadas</w:t>
      </w:r>
      <w:r w:rsidR="00AC6674" w:rsidRPr="00AC6674">
        <w:rPr>
          <w:rFonts w:ascii="Tahoma" w:hAnsi="Tahoma" w:cs="Tahoma"/>
          <w:b/>
          <w:strike/>
          <w:sz w:val="22"/>
          <w:szCs w:val="22"/>
          <w:highlight w:val="green"/>
        </w:rPr>
        <w:t>:</w:t>
      </w:r>
      <w:r w:rsidR="0039114C" w:rsidRPr="00AC6674">
        <w:rPr>
          <w:rFonts w:ascii="Tahoma" w:hAnsi="Tahoma" w:cs="Tahoma"/>
          <w:b/>
          <w:strike/>
          <w:sz w:val="22"/>
          <w:szCs w:val="22"/>
          <w:highlight w:val="green"/>
        </w:rPr>
        <w:t xml:space="preserve"> </w:t>
      </w:r>
    </w:p>
    <w:p w:rsidR="00784629" w:rsidRPr="0039114C" w:rsidRDefault="009A1D1A" w:rsidP="009A1D1A">
      <w:pPr>
        <w:pStyle w:val="Textoindependiente22"/>
        <w:numPr>
          <w:ilvl w:val="1"/>
          <w:numId w:val="8"/>
        </w:numPr>
        <w:spacing w:before="120"/>
        <w:ind w:left="851"/>
        <w:rPr>
          <w:strike/>
          <w:highlight w:val="green"/>
        </w:rPr>
      </w:pPr>
      <w:r w:rsidRPr="0039114C">
        <w:rPr>
          <w:rFonts w:ascii="Tahoma" w:hAnsi="Tahoma" w:cs="Tahoma"/>
          <w:b/>
          <w:strike/>
          <w:sz w:val="22"/>
          <w:szCs w:val="22"/>
          <w:highlight w:val="green"/>
        </w:rPr>
        <w:t xml:space="preserve"> Informe de justificación del tipo de actividad, ayuda o servicio concedido</w:t>
      </w:r>
      <w:r w:rsidRPr="0039114C">
        <w:rPr>
          <w:rFonts w:ascii="Tahoma" w:hAnsi="Tahoma" w:cs="Tahoma"/>
          <w:strike/>
          <w:sz w:val="22"/>
          <w:szCs w:val="22"/>
          <w:highlight w:val="green"/>
        </w:rPr>
        <w:t xml:space="preserve"> en virtud de la aplicación del artículo 20 bis del Reglamento (UE) 651/2014 de la Comisión, por el que se declaran determinadas categorías de ayudas compatibles con el mercado interior en aplicación de los artículos 107 y 108 del Tratado.</w:t>
      </w:r>
    </w:p>
    <w:p w:rsidR="00784629" w:rsidRPr="0039114C" w:rsidRDefault="009A1D1A" w:rsidP="009A1D1A">
      <w:pPr>
        <w:pStyle w:val="Textoindependiente22"/>
        <w:numPr>
          <w:ilvl w:val="1"/>
          <w:numId w:val="8"/>
        </w:numPr>
        <w:spacing w:before="120"/>
        <w:ind w:left="851"/>
        <w:rPr>
          <w:strike/>
          <w:highlight w:val="green"/>
        </w:rPr>
      </w:pPr>
      <w:r w:rsidRPr="0039114C">
        <w:rPr>
          <w:rFonts w:ascii="Tahoma" w:hAnsi="Tahoma" w:cs="Tahoma"/>
          <w:b/>
          <w:bCs/>
          <w:strike/>
          <w:sz w:val="22"/>
          <w:szCs w:val="22"/>
          <w:highlight w:val="green"/>
        </w:rPr>
        <w:t>Declaración responsable de Ayudas de Estado</w:t>
      </w:r>
      <w:r w:rsidRPr="0039114C">
        <w:rPr>
          <w:rFonts w:ascii="Tahoma" w:hAnsi="Tahoma" w:cs="Tahoma"/>
          <w:bCs/>
          <w:strike/>
          <w:sz w:val="22"/>
          <w:szCs w:val="22"/>
          <w:highlight w:val="green"/>
        </w:rPr>
        <w:t xml:space="preserve"> del beneficiario FEDER y del destinatario final de la ayuda en aplicación del artículo 20 bis</w:t>
      </w:r>
      <w:r w:rsidRPr="0039114C">
        <w:rPr>
          <w:rFonts w:ascii="Tahoma" w:hAnsi="Tahoma" w:cs="Tahoma"/>
          <w:bCs/>
          <w:strike/>
          <w:sz w:val="22"/>
          <w:szCs w:val="22"/>
          <w:highlight w:val="green"/>
          <w:u w:val="single"/>
        </w:rPr>
        <w:t xml:space="preserve"> </w:t>
      </w:r>
      <w:r w:rsidRPr="0039114C">
        <w:rPr>
          <w:rFonts w:ascii="Tahoma" w:hAnsi="Tahoma" w:cs="Tahoma"/>
          <w:strike/>
          <w:sz w:val="22"/>
          <w:szCs w:val="22"/>
          <w:highlight w:val="green"/>
        </w:rPr>
        <w:t>del Reglamento (UE) 651/2014 de la Comisión, por el que se declaran determinadas categorías de ayudas compatibles con el mercado interior en aplicación de los artículos 107 y 108 del Tratado.</w:t>
      </w:r>
      <w:r w:rsidRPr="0039114C">
        <w:rPr>
          <w:rFonts w:ascii="Tahoma" w:hAnsi="Tahoma" w:cs="Tahoma"/>
          <w:strike/>
          <w:sz w:val="22"/>
          <w:szCs w:val="22"/>
          <w:highlight w:val="green"/>
          <w:u w:val="single"/>
        </w:rPr>
        <w:t xml:space="preserve"> Adjuntar, en su caso, los Anexos I y II establecidos al efecto</w:t>
      </w:r>
      <w:r w:rsidRPr="0039114C">
        <w:rPr>
          <w:rFonts w:ascii="Tahoma" w:hAnsi="Tahoma" w:cs="Tahoma"/>
          <w:bCs/>
          <w:strike/>
          <w:sz w:val="22"/>
          <w:szCs w:val="22"/>
          <w:highlight w:val="green"/>
          <w:u w:val="single"/>
        </w:rPr>
        <w:t xml:space="preserve"> en la documentación de la web del programa.</w:t>
      </w:r>
    </w:p>
    <w:p w:rsidR="00784629" w:rsidRDefault="00784629">
      <w:pPr>
        <w:pStyle w:val="Prrafodelista"/>
        <w:tabs>
          <w:tab w:val="left" w:pos="2759"/>
        </w:tabs>
        <w:spacing w:after="0" w:line="240" w:lineRule="auto"/>
        <w:ind w:left="780"/>
        <w:jc w:val="both"/>
        <w:rPr>
          <w:rFonts w:ascii="Tahoma" w:hAnsi="Tahoma" w:cs="Tahoma"/>
          <w:bCs/>
          <w:u w:val="single"/>
        </w:rPr>
      </w:pPr>
    </w:p>
    <w:p w:rsidR="00784629" w:rsidRDefault="009A1D1A">
      <w:pPr>
        <w:spacing w:before="120" w:after="0" w:line="240" w:lineRule="auto"/>
        <w:ind w:firstLine="708"/>
        <w:jc w:val="both"/>
        <w:rPr>
          <w:rFonts w:ascii="Tahoma" w:hAnsi="Tahoma" w:cs="Tahoma"/>
        </w:rPr>
      </w:pPr>
      <w:r>
        <w:rPr>
          <w:rFonts w:ascii="Tahoma" w:hAnsi="Tahoma" w:cs="Tahoma"/>
          <w:u w:val="single"/>
        </w:rPr>
        <w:t>Limites aplicables a estos costes</w:t>
      </w:r>
      <w:r>
        <w:rPr>
          <w:rFonts w:ascii="Tahoma" w:hAnsi="Tahoma" w:cs="Tahoma"/>
        </w:rPr>
        <w:t>:</w:t>
      </w:r>
    </w:p>
    <w:p w:rsidR="00784629" w:rsidRDefault="009A1D1A">
      <w:pPr>
        <w:pStyle w:val="Prrafodelista"/>
        <w:numPr>
          <w:ilvl w:val="0"/>
          <w:numId w:val="6"/>
        </w:numPr>
        <w:spacing w:before="120" w:after="0" w:line="240" w:lineRule="auto"/>
        <w:jc w:val="both"/>
        <w:rPr>
          <w:rFonts w:ascii="Tahoma" w:hAnsi="Tahoma" w:cs="Tahoma"/>
        </w:rPr>
      </w:pPr>
      <w:r>
        <w:rPr>
          <w:rFonts w:ascii="Tahoma" w:hAnsi="Tahoma" w:cs="Tahoma"/>
        </w:rPr>
        <w:t xml:space="preserve">Para gastos pagados por los </w:t>
      </w:r>
      <w:r>
        <w:rPr>
          <w:rFonts w:ascii="Tahoma" w:hAnsi="Tahoma" w:cs="Tahoma"/>
          <w:i/>
          <w:u w:val="single"/>
        </w:rPr>
        <w:t>beneficiarios de Canarias</w:t>
      </w:r>
      <w:r>
        <w:rPr>
          <w:rFonts w:ascii="Tahoma" w:hAnsi="Tahoma" w:cs="Tahoma"/>
        </w:rPr>
        <w:t>:</w:t>
      </w:r>
    </w:p>
    <w:p w:rsidR="00784629" w:rsidRDefault="00784629">
      <w:pPr>
        <w:pStyle w:val="Prrafodelista"/>
        <w:spacing w:before="120" w:after="0" w:line="240" w:lineRule="auto"/>
        <w:ind w:left="709"/>
        <w:jc w:val="both"/>
        <w:rPr>
          <w:rFonts w:ascii="Tahoma" w:hAnsi="Tahoma" w:cs="Tahoma"/>
        </w:rPr>
      </w:pPr>
    </w:p>
    <w:p w:rsidR="00784629" w:rsidRDefault="009A1D1A">
      <w:pPr>
        <w:pStyle w:val="Textosinformato"/>
        <w:ind w:left="708"/>
        <w:jc w:val="both"/>
        <w:rPr>
          <w:rFonts w:ascii="Tahoma" w:hAnsi="Tahoma" w:cs="Tahoma"/>
        </w:rPr>
      </w:pPr>
      <w:r>
        <w:rPr>
          <w:rFonts w:ascii="Tahoma" w:hAnsi="Tahoma" w:cs="Tahoma"/>
        </w:rPr>
        <w:t>Para los costes de viajes y alojamientos que se declaren a coste real el programa aplicará el Decreto 251/1997, de 30 de septiembre, por el que se aprueba el Reglamento de indemnizaciones por razón del servicio y sus modificaciones posteriores. Para desplazamientos al extranjero, cuando se declare excepcionalmente un importe superior, se aplicará el apartado 3 del artículo 12 "Gastos de Alojamiento" del citado Decreto:</w:t>
      </w:r>
    </w:p>
    <w:p w:rsidR="00784629" w:rsidRDefault="00784629">
      <w:pPr>
        <w:pStyle w:val="Textosinformato"/>
        <w:ind w:left="708"/>
        <w:jc w:val="both"/>
        <w:rPr>
          <w:rFonts w:ascii="Tahoma" w:hAnsi="Tahoma" w:cs="Tahoma"/>
        </w:rPr>
      </w:pPr>
    </w:p>
    <w:p w:rsidR="00784629" w:rsidRDefault="009A1D1A">
      <w:pPr>
        <w:pStyle w:val="Textosinformato"/>
        <w:spacing w:after="240"/>
        <w:ind w:left="709"/>
        <w:jc w:val="both"/>
        <w:rPr>
          <w:rFonts w:ascii="Tahoma" w:hAnsi="Tahoma" w:cs="Tahoma"/>
          <w:i/>
        </w:rPr>
      </w:pPr>
      <w:r>
        <w:rPr>
          <w:rFonts w:ascii="Tahoma" w:hAnsi="Tahoma" w:cs="Tahoma"/>
          <w:i/>
        </w:rPr>
        <w:t xml:space="preserve"> “Excepcionalmente, para desplazamientos al extranjero, los titulares de los departamentos podrán autorizar que la cuantía de la dieta por alojamiento pueda </w:t>
      </w:r>
      <w:r>
        <w:rPr>
          <w:rFonts w:ascii="Tahoma" w:hAnsi="Tahoma" w:cs="Tahoma"/>
          <w:i/>
          <w:u w:val="single"/>
        </w:rPr>
        <w:t>elevarse hasta la fijada para el grupo 1º o que se abone la totalidad de los gastos efectivamente devengados y justificados</w:t>
      </w:r>
      <w:r>
        <w:rPr>
          <w:rFonts w:ascii="Tahoma" w:hAnsi="Tahoma" w:cs="Tahoma"/>
          <w:i/>
        </w:rPr>
        <w:t>”.</w:t>
      </w:r>
    </w:p>
    <w:p w:rsidR="00784629" w:rsidRDefault="009A1D1A">
      <w:pPr>
        <w:pStyle w:val="Prrafodelista"/>
        <w:numPr>
          <w:ilvl w:val="0"/>
          <w:numId w:val="6"/>
        </w:numPr>
        <w:spacing w:before="120" w:after="0" w:line="240" w:lineRule="auto"/>
        <w:jc w:val="both"/>
        <w:rPr>
          <w:rFonts w:ascii="Tahoma" w:hAnsi="Tahoma" w:cs="Tahoma"/>
        </w:rPr>
      </w:pPr>
      <w:r>
        <w:rPr>
          <w:rFonts w:ascii="Tahoma" w:hAnsi="Tahoma" w:cs="Tahoma"/>
        </w:rPr>
        <w:t xml:space="preserve">Para gastos pagados por los </w:t>
      </w:r>
      <w:r>
        <w:rPr>
          <w:rFonts w:ascii="Tahoma" w:hAnsi="Tahoma" w:cs="Tahoma"/>
          <w:i/>
          <w:u w:val="single"/>
        </w:rPr>
        <w:t>beneficiarios portugueses</w:t>
      </w:r>
      <w:r>
        <w:rPr>
          <w:rFonts w:ascii="Tahoma" w:hAnsi="Tahoma" w:cs="Tahoma"/>
        </w:rPr>
        <w:t>:</w:t>
      </w:r>
    </w:p>
    <w:p w:rsidR="00784629" w:rsidRDefault="00784629">
      <w:pPr>
        <w:pStyle w:val="Prrafodelista"/>
        <w:spacing w:before="120" w:after="0" w:line="240" w:lineRule="auto"/>
        <w:ind w:left="1068"/>
        <w:jc w:val="both"/>
        <w:rPr>
          <w:rFonts w:ascii="Tahoma" w:hAnsi="Tahoma" w:cs="Tahoma"/>
        </w:rPr>
      </w:pPr>
    </w:p>
    <w:p w:rsidR="00784629" w:rsidRDefault="009A1D1A">
      <w:pPr>
        <w:ind w:left="708"/>
        <w:jc w:val="both"/>
        <w:rPr>
          <w:rFonts w:ascii="Tahoma" w:hAnsi="Tahoma" w:cs="Tahoma"/>
        </w:rPr>
      </w:pPr>
      <w:r>
        <w:rPr>
          <w:rFonts w:ascii="Tahoma" w:hAnsi="Tahoma" w:cs="Tahoma"/>
        </w:rPr>
        <w:t>Se admitirán como gastos subvencionables los relativos a viajes y dietas en relación con la operación, siempre que respeten la Portaria nº 1553-D/2008, de 31 de diciembre (tablas de dietas, dietas de manutención y dietas de viaje), en su redacción vigente y adaptada por las administraciones autonómicas.</w:t>
      </w:r>
    </w:p>
    <w:p w:rsidR="00784629" w:rsidRDefault="009A1D1A">
      <w:pPr>
        <w:ind w:left="708"/>
        <w:jc w:val="both"/>
        <w:rPr>
          <w:rFonts w:ascii="Tahoma" w:hAnsi="Tahoma" w:cs="Tahoma"/>
        </w:rPr>
      </w:pPr>
      <w:r>
        <w:rPr>
          <w:rFonts w:ascii="Tahoma" w:hAnsi="Tahoma" w:cs="Tahoma"/>
        </w:rPr>
        <w:t>Para los beneficiarios de Azores, en lo que respecta a la elegibilidad de los gastos relativos a desplazamientos aéreos, los límites máximos a aplicar son los previstos en el Decreto-Ley nº 41/2015, de 24 de marzo, y en la Portaria nº 95-A/2015, de 27 de marzo, en su redacción vigente.</w:t>
      </w:r>
    </w:p>
    <w:p w:rsidR="00784629" w:rsidRDefault="009A1D1A">
      <w:pPr>
        <w:ind w:left="708"/>
        <w:jc w:val="both"/>
        <w:rPr>
          <w:rFonts w:ascii="Tahoma" w:hAnsi="Tahoma" w:cs="Tahoma"/>
        </w:rPr>
      </w:pPr>
      <w:r>
        <w:rPr>
          <w:rFonts w:ascii="Tahoma" w:hAnsi="Tahoma" w:cs="Tahoma"/>
        </w:rPr>
        <w:lastRenderedPageBreak/>
        <w:t>Para los beneficiarios de Madeira, los límites máximos son los establecidos en el Decreto-Ley n.º 134/2015, de 24 de julio (subsidio de movilidad social), y en la Orden Ministerial n.º 260-C/2015, de 24 de agosto (cálculo del valor del subsidio de movilidad social), en su redacción vigente.</w:t>
      </w:r>
    </w:p>
    <w:sectPr w:rsidR="00784629">
      <w:headerReference w:type="default" r:id="rId7"/>
      <w:footerReference w:type="default" r:id="rId8"/>
      <w:headerReference w:type="first" r:id="rId9"/>
      <w:footerReference w:type="first" r:id="rId10"/>
      <w:pgSz w:w="11906" w:h="16838"/>
      <w:pgMar w:top="2127" w:right="1701" w:bottom="1417" w:left="1701" w:header="705"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C4A" w:rsidRDefault="009A1D1A">
      <w:pPr>
        <w:spacing w:after="0" w:line="240" w:lineRule="auto"/>
      </w:pPr>
      <w:r>
        <w:separator/>
      </w:r>
    </w:p>
  </w:endnote>
  <w:endnote w:type="continuationSeparator" w:id="0">
    <w:p w:rsidR="002D2C4A" w:rsidRDefault="009A1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Times New Roman"/>
    <w:charset w:val="00"/>
    <w:family w:val="auto"/>
    <w:pitch w:val="variable"/>
    <w:sig w:usb0="00000001" w:usb1="1001ECEA" w:usb2="00000000" w:usb3="00000000" w:csb0="80000001"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6604096"/>
      <w:docPartObj>
        <w:docPartGallery w:val="Page Numbers (Bottom of Page)"/>
        <w:docPartUnique/>
      </w:docPartObj>
    </w:sdtPr>
    <w:sdtEndPr/>
    <w:sdtContent>
      <w:p w:rsidR="00784629" w:rsidRDefault="009A1D1A">
        <w:pPr>
          <w:pStyle w:val="Piedepgina"/>
          <w:jc w:val="center"/>
        </w:pPr>
        <w:r>
          <w:fldChar w:fldCharType="begin"/>
        </w:r>
        <w:r>
          <w:instrText xml:space="preserve"> PAGE </w:instrText>
        </w:r>
        <w:r>
          <w:fldChar w:fldCharType="separate"/>
        </w:r>
        <w:r w:rsidR="000A6043">
          <w:rPr>
            <w:noProof/>
          </w:rPr>
          <w:t>5</w:t>
        </w:r>
        <w:r>
          <w:fldChar w:fldCharType="end"/>
        </w:r>
      </w:p>
    </w:sdtContent>
  </w:sdt>
  <w:p w:rsidR="00784629" w:rsidRDefault="009A1D1A">
    <w:pPr>
      <w:pStyle w:val="Piedepgina"/>
    </w:pPr>
    <w:r w:rsidRPr="005F033E">
      <w:rPr>
        <w:highlight w:val="green"/>
      </w:rPr>
      <w:t xml:space="preserve">Versión </w:t>
    </w:r>
    <w:r w:rsidR="005F033E" w:rsidRPr="005F033E">
      <w:rPr>
        <w:highlight w:val="green"/>
      </w:rPr>
      <w:t>6</w:t>
    </w:r>
    <w:r w:rsidRPr="005F033E">
      <w:rPr>
        <w:highlight w:val="green"/>
      </w:rPr>
      <w:t>_</w:t>
    </w:r>
    <w:r w:rsidR="005F033E" w:rsidRPr="005F033E">
      <w:rPr>
        <w:highlight w:val="green"/>
      </w:rPr>
      <w:t>ju</w:t>
    </w:r>
    <w:r w:rsidR="00577B5D">
      <w:rPr>
        <w:highlight w:val="green"/>
      </w:rPr>
      <w:t>l</w:t>
    </w:r>
    <w:r w:rsidR="005F033E" w:rsidRPr="005F033E">
      <w:rPr>
        <w:highlight w:val="green"/>
      </w:rPr>
      <w:t>io</w:t>
    </w:r>
    <w:r w:rsidRPr="005F033E">
      <w:rPr>
        <w:highlight w:val="green"/>
      </w:rPr>
      <w:t xml:space="preserve"> 2026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8443673"/>
      <w:docPartObj>
        <w:docPartGallery w:val="Page Numbers (Bottom of Page)"/>
        <w:docPartUnique/>
      </w:docPartObj>
    </w:sdtPr>
    <w:sdtEndPr/>
    <w:sdtContent>
      <w:p w:rsidR="00784629" w:rsidRDefault="009A1D1A">
        <w:pPr>
          <w:pStyle w:val="Piedepgina"/>
          <w:jc w:val="center"/>
        </w:pPr>
        <w:r>
          <w:fldChar w:fldCharType="begin"/>
        </w:r>
        <w:r>
          <w:instrText xml:space="preserve"> PAGE </w:instrText>
        </w:r>
        <w:r>
          <w:fldChar w:fldCharType="separate"/>
        </w:r>
        <w:r>
          <w:t>5</w:t>
        </w:r>
        <w:r>
          <w:fldChar w:fldCharType="end"/>
        </w:r>
      </w:p>
    </w:sdtContent>
  </w:sdt>
  <w:p w:rsidR="00784629" w:rsidRDefault="009A1D1A">
    <w:pPr>
      <w:pStyle w:val="Piedepgina"/>
    </w:pPr>
    <w:r>
      <w:t>Versión 5_abril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C4A" w:rsidRDefault="009A1D1A">
      <w:pPr>
        <w:spacing w:after="0" w:line="240" w:lineRule="auto"/>
      </w:pPr>
      <w:r>
        <w:separator/>
      </w:r>
    </w:p>
  </w:footnote>
  <w:footnote w:type="continuationSeparator" w:id="0">
    <w:p w:rsidR="002D2C4A" w:rsidRDefault="009A1D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629" w:rsidRDefault="009A1D1A">
    <w:pPr>
      <w:pStyle w:val="Encabezado"/>
    </w:pPr>
    <w:r>
      <w:rPr>
        <w:noProof/>
        <w:lang w:eastAsia="es-ES"/>
      </w:rPr>
      <w:drawing>
        <wp:anchor distT="0" distB="0" distL="114300" distR="114300" simplePos="0" relativeHeight="251656192" behindDoc="1" locked="0" layoutInCell="0" allowOverlap="1">
          <wp:simplePos x="0" y="0"/>
          <wp:positionH relativeFrom="column">
            <wp:posOffset>3329940</wp:posOffset>
          </wp:positionH>
          <wp:positionV relativeFrom="paragraph">
            <wp:posOffset>-62230</wp:posOffset>
          </wp:positionV>
          <wp:extent cx="2213610" cy="669290"/>
          <wp:effectExtent l="0" t="0" r="0" b="0"/>
          <wp:wrapSquare wrapText="bothSides"/>
          <wp:docPr id="1" name="Imagen 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669"/>
                  <pic:cNvPicPr>
                    <a:picLocks noChangeAspect="1" noChangeArrowheads="1"/>
                  </pic:cNvPicPr>
                </pic:nvPicPr>
                <pic:blipFill>
                  <a:blip r:embed="rId1"/>
                  <a:stretch>
                    <a:fillRect/>
                  </a:stretch>
                </pic:blipFill>
                <pic:spPr bwMode="auto">
                  <a:xfrm>
                    <a:off x="0" y="0"/>
                    <a:ext cx="2213610" cy="669290"/>
                  </a:xfrm>
                  <a:prstGeom prst="rect">
                    <a:avLst/>
                  </a:prstGeom>
                  <a:noFill/>
                </pic:spPr>
              </pic:pic>
            </a:graphicData>
          </a:graphic>
        </wp:anchor>
      </w:drawing>
    </w:r>
    <w:r>
      <w:rPr>
        <w:noProof/>
        <w:lang w:eastAsia="es-ES"/>
      </w:rPr>
      <w:drawing>
        <wp:anchor distT="0" distB="0" distL="114300" distR="114300" simplePos="0" relativeHeight="251658240" behindDoc="1" locked="0" layoutInCell="0" allowOverlap="1">
          <wp:simplePos x="0" y="0"/>
          <wp:positionH relativeFrom="column">
            <wp:posOffset>-203835</wp:posOffset>
          </wp:positionH>
          <wp:positionV relativeFrom="paragraph">
            <wp:posOffset>41910</wp:posOffset>
          </wp:positionV>
          <wp:extent cx="2567940" cy="552450"/>
          <wp:effectExtent l="0" t="0" r="0" b="0"/>
          <wp:wrapSquare wrapText="bothSides"/>
          <wp:docPr id="2" name="Imagen 266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668" descr="Imagen que contiene Texto&#10;&#10;Descripción generada automáticamente"/>
                  <pic:cNvPicPr>
                    <a:picLocks noChangeAspect="1" noChangeArrowheads="1"/>
                  </pic:cNvPicPr>
                </pic:nvPicPr>
                <pic:blipFill>
                  <a:blip r:embed="rId2"/>
                  <a:stretch>
                    <a:fillRect/>
                  </a:stretch>
                </pic:blipFill>
                <pic:spPr bwMode="auto">
                  <a:xfrm>
                    <a:off x="0" y="0"/>
                    <a:ext cx="2567940" cy="55245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629" w:rsidRDefault="009A1D1A">
    <w:pPr>
      <w:pStyle w:val="Encabezado"/>
    </w:pPr>
    <w:r>
      <w:rPr>
        <w:noProof/>
        <w:lang w:eastAsia="es-ES"/>
      </w:rPr>
      <w:drawing>
        <wp:anchor distT="0" distB="0" distL="114300" distR="114300" simplePos="0" relativeHeight="251657216" behindDoc="1" locked="0" layoutInCell="0" allowOverlap="1">
          <wp:simplePos x="0" y="0"/>
          <wp:positionH relativeFrom="column">
            <wp:posOffset>3329940</wp:posOffset>
          </wp:positionH>
          <wp:positionV relativeFrom="paragraph">
            <wp:posOffset>-62230</wp:posOffset>
          </wp:positionV>
          <wp:extent cx="2213610" cy="669290"/>
          <wp:effectExtent l="0" t="0" r="0" b="0"/>
          <wp:wrapSquare wrapText="bothSides"/>
          <wp:docPr id="3" name="Imagen 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669"/>
                  <pic:cNvPicPr>
                    <a:picLocks noChangeAspect="1" noChangeArrowheads="1"/>
                  </pic:cNvPicPr>
                </pic:nvPicPr>
                <pic:blipFill>
                  <a:blip r:embed="rId1"/>
                  <a:stretch>
                    <a:fillRect/>
                  </a:stretch>
                </pic:blipFill>
                <pic:spPr bwMode="auto">
                  <a:xfrm>
                    <a:off x="0" y="0"/>
                    <a:ext cx="2213610" cy="669290"/>
                  </a:xfrm>
                  <a:prstGeom prst="rect">
                    <a:avLst/>
                  </a:prstGeom>
                  <a:noFill/>
                </pic:spPr>
              </pic:pic>
            </a:graphicData>
          </a:graphic>
        </wp:anchor>
      </w:drawing>
    </w:r>
    <w:r>
      <w:rPr>
        <w:noProof/>
        <w:lang w:eastAsia="es-ES"/>
      </w:rPr>
      <w:drawing>
        <wp:anchor distT="0" distB="0" distL="114300" distR="114300" simplePos="0" relativeHeight="251659264" behindDoc="1" locked="0" layoutInCell="0" allowOverlap="1">
          <wp:simplePos x="0" y="0"/>
          <wp:positionH relativeFrom="column">
            <wp:posOffset>-203835</wp:posOffset>
          </wp:positionH>
          <wp:positionV relativeFrom="paragraph">
            <wp:posOffset>41910</wp:posOffset>
          </wp:positionV>
          <wp:extent cx="2567940" cy="552450"/>
          <wp:effectExtent l="0" t="0" r="0" b="0"/>
          <wp:wrapSquare wrapText="bothSides"/>
          <wp:docPr id="4" name="Imagen 266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668" descr="Imagen que contiene Texto&#10;&#10;Descripción generada automáticamente"/>
                  <pic:cNvPicPr>
                    <a:picLocks noChangeAspect="1" noChangeArrowheads="1"/>
                  </pic:cNvPicPr>
                </pic:nvPicPr>
                <pic:blipFill>
                  <a:blip r:embed="rId2"/>
                  <a:stretch>
                    <a:fillRect/>
                  </a:stretch>
                </pic:blipFill>
                <pic:spPr bwMode="auto">
                  <a:xfrm>
                    <a:off x="0" y="0"/>
                    <a:ext cx="2567940" cy="552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F662B"/>
    <w:multiLevelType w:val="multilevel"/>
    <w:tmpl w:val="7A5A6F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881549"/>
    <w:multiLevelType w:val="multilevel"/>
    <w:tmpl w:val="A210E918"/>
    <w:lvl w:ilvl="0">
      <w:start w:val="1"/>
      <w:numFmt w:val="bullet"/>
      <w:lvlText w:val=""/>
      <w:lvlJc w:val="left"/>
      <w:pPr>
        <w:tabs>
          <w:tab w:val="num" w:pos="0"/>
        </w:tabs>
        <w:ind w:left="780" w:hanging="360"/>
      </w:pPr>
      <w:rPr>
        <w:rFonts w:ascii="Wingdings" w:hAnsi="Wingdings" w:cs="Wingdings"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2" w15:restartNumberingAfterBreak="0">
    <w:nsid w:val="05ED7F83"/>
    <w:multiLevelType w:val="multilevel"/>
    <w:tmpl w:val="4A84412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9686725"/>
    <w:multiLevelType w:val="multilevel"/>
    <w:tmpl w:val="61A8BFF6"/>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4" w15:restartNumberingAfterBreak="0">
    <w:nsid w:val="2EEA78C8"/>
    <w:multiLevelType w:val="multilevel"/>
    <w:tmpl w:val="B1FE102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FA5755C"/>
    <w:multiLevelType w:val="multilevel"/>
    <w:tmpl w:val="1A6C00EE"/>
    <w:lvl w:ilvl="0">
      <w:start w:val="1"/>
      <w:numFmt w:val="bullet"/>
      <w:lvlText w:val="o"/>
      <w:lvlJc w:val="left"/>
      <w:pPr>
        <w:tabs>
          <w:tab w:val="num" w:pos="0"/>
        </w:tabs>
        <w:ind w:left="1068" w:hanging="360"/>
      </w:pPr>
      <w:rPr>
        <w:rFonts w:ascii="Courier New" w:hAnsi="Courier New" w:cs="Courier New"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6" w15:restartNumberingAfterBreak="0">
    <w:nsid w:val="62743C16"/>
    <w:multiLevelType w:val="hybridMultilevel"/>
    <w:tmpl w:val="929E4A5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4E14B30"/>
    <w:multiLevelType w:val="multilevel"/>
    <w:tmpl w:val="719E505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64F13DC1"/>
    <w:multiLevelType w:val="multilevel"/>
    <w:tmpl w:val="9F92262C"/>
    <w:lvl w:ilvl="0">
      <w:start w:val="1"/>
      <w:numFmt w:val="decimal"/>
      <w:lvlText w:val="%1."/>
      <w:lvlJc w:val="left"/>
      <w:pPr>
        <w:tabs>
          <w:tab w:val="num" w:pos="0"/>
        </w:tabs>
        <w:ind w:left="360" w:hanging="360"/>
      </w:pPr>
      <w:rPr>
        <w:rFonts w:ascii="Tahoma" w:hAnsi="Tahoma"/>
        <w:b/>
        <w:i w:val="0"/>
        <w:color w:val="2E74B5" w:themeColor="accent1" w:themeShade="BF"/>
      </w:rPr>
    </w:lvl>
    <w:lvl w:ilvl="1">
      <w:start w:val="1"/>
      <w:numFmt w:val="decimal"/>
      <w:isLgl/>
      <w:lvlText w:val="%1.%2."/>
      <w:lvlJc w:val="left"/>
      <w:pPr>
        <w:tabs>
          <w:tab w:val="num" w:pos="0"/>
        </w:tabs>
        <w:ind w:left="720" w:hanging="72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1080" w:hanging="1080"/>
      </w:pPr>
    </w:lvl>
    <w:lvl w:ilvl="4">
      <w:start w:val="1"/>
      <w:numFmt w:val="decimal"/>
      <w:isLgl/>
      <w:lvlText w:val="%1.%2.%3.%4.%5."/>
      <w:lvlJc w:val="left"/>
      <w:pPr>
        <w:tabs>
          <w:tab w:val="num" w:pos="0"/>
        </w:tabs>
        <w:ind w:left="1440" w:hanging="1440"/>
      </w:pPr>
    </w:lvl>
    <w:lvl w:ilvl="5">
      <w:start w:val="1"/>
      <w:numFmt w:val="decimal"/>
      <w:isLgl/>
      <w:lvlText w:val="%1.%2.%3.%4.%5.%6."/>
      <w:lvlJc w:val="left"/>
      <w:pPr>
        <w:tabs>
          <w:tab w:val="num" w:pos="0"/>
        </w:tabs>
        <w:ind w:left="1440" w:hanging="1440"/>
      </w:pPr>
    </w:lvl>
    <w:lvl w:ilvl="6">
      <w:start w:val="1"/>
      <w:numFmt w:val="decimal"/>
      <w:isLgl/>
      <w:lvlText w:val="%1.%2.%3.%4.%5.%6.%7."/>
      <w:lvlJc w:val="left"/>
      <w:pPr>
        <w:tabs>
          <w:tab w:val="num" w:pos="0"/>
        </w:tabs>
        <w:ind w:left="1800" w:hanging="1800"/>
      </w:pPr>
    </w:lvl>
    <w:lvl w:ilvl="7">
      <w:start w:val="1"/>
      <w:numFmt w:val="decimal"/>
      <w:isLgl/>
      <w:lvlText w:val="%1.%2.%3.%4.%5.%6.%7.%8."/>
      <w:lvlJc w:val="left"/>
      <w:pPr>
        <w:tabs>
          <w:tab w:val="num" w:pos="0"/>
        </w:tabs>
        <w:ind w:left="2160" w:hanging="2160"/>
      </w:pPr>
    </w:lvl>
    <w:lvl w:ilvl="8">
      <w:start w:val="1"/>
      <w:numFmt w:val="decimal"/>
      <w:isLgl/>
      <w:lvlText w:val="%1.%2.%3.%4.%5.%6.%7.%8.%9."/>
      <w:lvlJc w:val="left"/>
      <w:pPr>
        <w:tabs>
          <w:tab w:val="num" w:pos="0"/>
        </w:tabs>
        <w:ind w:left="2160" w:hanging="2160"/>
      </w:pPr>
    </w:lvl>
  </w:abstractNum>
  <w:abstractNum w:abstractNumId="9" w15:restartNumberingAfterBreak="0">
    <w:nsid w:val="76DF0C6F"/>
    <w:multiLevelType w:val="multilevel"/>
    <w:tmpl w:val="65AE24F4"/>
    <w:lvl w:ilvl="0">
      <w:start w:val="1"/>
      <w:numFmt w:val="bullet"/>
      <w:lvlText w:val="o"/>
      <w:lvlJc w:val="left"/>
      <w:pPr>
        <w:tabs>
          <w:tab w:val="num" w:pos="0"/>
        </w:tabs>
        <w:ind w:left="780" w:hanging="360"/>
      </w:pPr>
      <w:rPr>
        <w:rFonts w:ascii="Courier New" w:hAnsi="Courier New" w:cs="Courier New" w:hint="default"/>
      </w:rPr>
    </w:lvl>
    <w:lvl w:ilvl="1">
      <w:start w:val="1"/>
      <w:numFmt w:val="bullet"/>
      <w:lvlText w:val=""/>
      <w:lvlJc w:val="left"/>
      <w:pPr>
        <w:tabs>
          <w:tab w:val="num" w:pos="0"/>
        </w:tabs>
        <w:ind w:left="1500" w:hanging="360"/>
      </w:pPr>
      <w:rPr>
        <w:rFonts w:ascii="Wingdings" w:hAnsi="Wingdings" w:cs="Wingdings"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0" w15:restartNumberingAfterBreak="0">
    <w:nsid w:val="77CB7FE2"/>
    <w:multiLevelType w:val="multilevel"/>
    <w:tmpl w:val="B03C6C7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3"/>
  </w:num>
  <w:num w:numId="3">
    <w:abstractNumId w:val="8"/>
  </w:num>
  <w:num w:numId="4">
    <w:abstractNumId w:val="7"/>
  </w:num>
  <w:num w:numId="5">
    <w:abstractNumId w:val="10"/>
  </w:num>
  <w:num w:numId="6">
    <w:abstractNumId w:val="5"/>
  </w:num>
  <w:num w:numId="7">
    <w:abstractNumId w:val="1"/>
  </w:num>
  <w:num w:numId="8">
    <w:abstractNumId w:val="9"/>
  </w:num>
  <w:num w:numId="9">
    <w:abstractNumId w:val="2"/>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629"/>
    <w:rsid w:val="000A6043"/>
    <w:rsid w:val="002D2C4A"/>
    <w:rsid w:val="0039114C"/>
    <w:rsid w:val="00577B5D"/>
    <w:rsid w:val="005F033E"/>
    <w:rsid w:val="00784629"/>
    <w:rsid w:val="00810ACD"/>
    <w:rsid w:val="009A1D1A"/>
    <w:rsid w:val="00A25EC4"/>
    <w:rsid w:val="00AC6674"/>
    <w:rsid w:val="00EB4F7D"/>
    <w:rsid w:val="00F96FA2"/>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DC8838-0959-4B1D-9720-2427651A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079"/>
    <w:pPr>
      <w:spacing w:after="160" w:line="259" w:lineRule="auto"/>
    </w:pPr>
  </w:style>
  <w:style w:type="paragraph" w:styleId="Ttulo1">
    <w:name w:val="heading 1"/>
    <w:basedOn w:val="Normal"/>
    <w:next w:val="Normal"/>
    <w:link w:val="Ttulo1Car"/>
    <w:uiPriority w:val="9"/>
    <w:qFormat/>
    <w:rsid w:val="005C15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461057"/>
  </w:style>
  <w:style w:type="character" w:customStyle="1" w:styleId="PiedepginaCar">
    <w:name w:val="Pie de página Car"/>
    <w:basedOn w:val="Fuentedeprrafopredeter"/>
    <w:link w:val="Piedepgina"/>
    <w:uiPriority w:val="99"/>
    <w:qFormat/>
    <w:rsid w:val="00461057"/>
  </w:style>
  <w:style w:type="character" w:styleId="Refdecomentario">
    <w:name w:val="annotation reference"/>
    <w:basedOn w:val="Fuentedeprrafopredeter"/>
    <w:uiPriority w:val="99"/>
    <w:semiHidden/>
    <w:unhideWhenUsed/>
    <w:qFormat/>
    <w:rsid w:val="00FF2750"/>
    <w:rPr>
      <w:sz w:val="16"/>
      <w:szCs w:val="16"/>
    </w:rPr>
  </w:style>
  <w:style w:type="character" w:customStyle="1" w:styleId="TextocomentarioCar">
    <w:name w:val="Texto comentario Car"/>
    <w:basedOn w:val="Fuentedeprrafopredeter"/>
    <w:link w:val="Textocomentario"/>
    <w:uiPriority w:val="99"/>
    <w:qFormat/>
    <w:rsid w:val="00FF2750"/>
    <w:rPr>
      <w:sz w:val="20"/>
      <w:szCs w:val="20"/>
    </w:rPr>
  </w:style>
  <w:style w:type="character" w:customStyle="1" w:styleId="AsuntodelcomentarioCar">
    <w:name w:val="Asunto del comentario Car"/>
    <w:basedOn w:val="TextocomentarioCar"/>
    <w:link w:val="Asuntodelcomentario"/>
    <w:uiPriority w:val="99"/>
    <w:semiHidden/>
    <w:qFormat/>
    <w:rsid w:val="00FF2750"/>
    <w:rPr>
      <w:b/>
      <w:bCs/>
      <w:sz w:val="20"/>
      <w:szCs w:val="20"/>
    </w:rPr>
  </w:style>
  <w:style w:type="character" w:customStyle="1" w:styleId="TextodegloboCar">
    <w:name w:val="Texto de globo Car"/>
    <w:basedOn w:val="Fuentedeprrafopredeter"/>
    <w:link w:val="Textodeglobo"/>
    <w:uiPriority w:val="99"/>
    <w:semiHidden/>
    <w:qFormat/>
    <w:rsid w:val="003401D5"/>
    <w:rPr>
      <w:rFonts w:ascii="Segoe UI" w:hAnsi="Segoe UI" w:cs="Segoe UI"/>
      <w:sz w:val="18"/>
      <w:szCs w:val="18"/>
    </w:rPr>
  </w:style>
  <w:style w:type="character" w:customStyle="1" w:styleId="TextosinformatoCar">
    <w:name w:val="Texto sin formato Car"/>
    <w:basedOn w:val="Fuentedeprrafopredeter"/>
    <w:link w:val="Textosinformato"/>
    <w:uiPriority w:val="99"/>
    <w:qFormat/>
    <w:rsid w:val="00280942"/>
    <w:rPr>
      <w:rFonts w:ascii="Calibri" w:hAnsi="Calibri"/>
      <w:szCs w:val="21"/>
    </w:rPr>
  </w:style>
  <w:style w:type="character" w:customStyle="1" w:styleId="Bolos">
    <w:name w:val="Bolos"/>
    <w:qFormat/>
    <w:rPr>
      <w:rFonts w:ascii="OpenSymbol" w:eastAsia="OpenSymbol" w:hAnsi="OpenSymbol" w:cs="OpenSymbol"/>
    </w:rPr>
  </w:style>
  <w:style w:type="character" w:customStyle="1" w:styleId="Ttulo1Car">
    <w:name w:val="Título 1 Car"/>
    <w:basedOn w:val="Fuentedeprrafopredeter"/>
    <w:link w:val="Ttulo1"/>
    <w:uiPriority w:val="9"/>
    <w:qFormat/>
    <w:rsid w:val="005C1556"/>
    <w:rPr>
      <w:rFonts w:asciiTheme="majorHAnsi" w:eastAsiaTheme="majorEastAsia" w:hAnsiTheme="majorHAnsi" w:cstheme="majorBidi"/>
      <w:color w:val="2E74B5" w:themeColor="accent1" w:themeShade="BF"/>
      <w:sz w:val="32"/>
      <w:szCs w:val="32"/>
    </w:rPr>
  </w:style>
  <w:style w:type="paragraph" w:styleId="Puest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Lucida Sans"/>
      <w:sz w:val="28"/>
      <w:szCs w:val="28"/>
    </w:rPr>
  </w:style>
  <w:style w:type="paragraph" w:customStyle="1" w:styleId="ndiceuser">
    <w:name w:val="Índice (user)"/>
    <w:basedOn w:val="Normal"/>
    <w:qFormat/>
    <w:pPr>
      <w:suppressLineNumbers/>
    </w:pPr>
    <w:rPr>
      <w:rFonts w:cs="Lucida Sans"/>
    </w:rPr>
  </w:style>
  <w:style w:type="paragraph" w:customStyle="1" w:styleId="Default">
    <w:name w:val="Default"/>
    <w:qFormat/>
    <w:rsid w:val="00461057"/>
    <w:rPr>
      <w:rFonts w:ascii="Tahoma" w:eastAsia="Calibri" w:hAnsi="Tahoma" w:cs="Tahoma"/>
      <w:color w:val="000000"/>
      <w:sz w:val="24"/>
      <w:szCs w:val="24"/>
    </w:rPr>
  </w:style>
  <w:style w:type="paragraph" w:customStyle="1" w:styleId="Cabeceraypie">
    <w:name w:val="Cabecera y pie"/>
    <w:basedOn w:val="Normal"/>
    <w:qFormat/>
  </w:style>
  <w:style w:type="paragraph" w:customStyle="1" w:styleId="Cabeceraypieuser">
    <w:name w:val="Cabecera y pie (user)"/>
    <w:basedOn w:val="Normal"/>
    <w:qFormat/>
  </w:style>
  <w:style w:type="paragraph" w:styleId="Encabezado">
    <w:name w:val="header"/>
    <w:basedOn w:val="Normal"/>
    <w:link w:val="EncabezadoCar"/>
    <w:uiPriority w:val="99"/>
    <w:unhideWhenUsed/>
    <w:rsid w:val="00461057"/>
    <w:pPr>
      <w:tabs>
        <w:tab w:val="center" w:pos="4252"/>
        <w:tab w:val="right" w:pos="8504"/>
      </w:tabs>
      <w:spacing w:after="0" w:line="240" w:lineRule="auto"/>
    </w:pPr>
  </w:style>
  <w:style w:type="paragraph" w:styleId="Piedepgina">
    <w:name w:val="footer"/>
    <w:basedOn w:val="Normal"/>
    <w:link w:val="PiedepginaCar"/>
    <w:uiPriority w:val="99"/>
    <w:unhideWhenUsed/>
    <w:rsid w:val="00461057"/>
    <w:pPr>
      <w:tabs>
        <w:tab w:val="center" w:pos="4252"/>
        <w:tab w:val="right" w:pos="8504"/>
      </w:tabs>
      <w:spacing w:after="0" w:line="240" w:lineRule="auto"/>
    </w:pPr>
  </w:style>
  <w:style w:type="paragraph" w:styleId="Prrafodelista">
    <w:name w:val="List Paragraph"/>
    <w:basedOn w:val="Normal"/>
    <w:uiPriority w:val="34"/>
    <w:qFormat/>
    <w:rsid w:val="006032D3"/>
    <w:pPr>
      <w:ind w:left="720"/>
      <w:contextualSpacing/>
    </w:pPr>
  </w:style>
  <w:style w:type="paragraph" w:customStyle="1" w:styleId="Textoindependiente22">
    <w:name w:val="Texto independiente 22"/>
    <w:basedOn w:val="Normal"/>
    <w:qFormat/>
    <w:rsid w:val="004E18A5"/>
    <w:pPr>
      <w:spacing w:after="0" w:line="240" w:lineRule="auto"/>
      <w:jc w:val="both"/>
    </w:pPr>
    <w:rPr>
      <w:rFonts w:ascii="Arial Narrow" w:eastAsia="Times New Roman" w:hAnsi="Arial Narrow" w:cs="Arial Narrow"/>
      <w:sz w:val="24"/>
      <w:szCs w:val="20"/>
      <w:lang w:eastAsia="es-ES_tradnl"/>
    </w:rPr>
  </w:style>
  <w:style w:type="paragraph" w:styleId="Textocomentario">
    <w:name w:val="annotation text"/>
    <w:basedOn w:val="Normal"/>
    <w:link w:val="TextocomentarioCar"/>
    <w:uiPriority w:val="99"/>
    <w:unhideWhenUsed/>
    <w:rsid w:val="00FF2750"/>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FF2750"/>
    <w:rPr>
      <w:b/>
      <w:bCs/>
    </w:rPr>
  </w:style>
  <w:style w:type="paragraph" w:styleId="Textodeglobo">
    <w:name w:val="Balloon Text"/>
    <w:basedOn w:val="Normal"/>
    <w:link w:val="TextodegloboCar"/>
    <w:uiPriority w:val="99"/>
    <w:semiHidden/>
    <w:unhideWhenUsed/>
    <w:qFormat/>
    <w:rsid w:val="003401D5"/>
    <w:pPr>
      <w:spacing w:after="0" w:line="240" w:lineRule="auto"/>
    </w:pPr>
    <w:rPr>
      <w:rFonts w:ascii="Segoe UI" w:hAnsi="Segoe UI" w:cs="Segoe UI"/>
      <w:sz w:val="18"/>
      <w:szCs w:val="18"/>
    </w:rPr>
  </w:style>
  <w:style w:type="paragraph" w:styleId="Textosinformato">
    <w:name w:val="Plain Text"/>
    <w:basedOn w:val="Normal"/>
    <w:link w:val="TextosinformatoCar"/>
    <w:uiPriority w:val="99"/>
    <w:unhideWhenUsed/>
    <w:qFormat/>
    <w:rsid w:val="00280942"/>
    <w:pPr>
      <w:spacing w:after="0" w:line="240" w:lineRule="auto"/>
    </w:pPr>
    <w:rPr>
      <w:rFonts w:ascii="Calibri" w:hAnsi="Calibri"/>
      <w:szCs w:val="21"/>
    </w:rPr>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 w:type="table" w:styleId="Tablaconcuadrcula">
    <w:name w:val="Table Grid"/>
    <w:basedOn w:val="Tablanormal"/>
    <w:rsid w:val="00461057"/>
    <w:pPr>
      <w:spacing w:before="180" w:after="180"/>
      <w:jc w:val="both"/>
    </w:pPr>
    <w:rPr>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1486</Words>
  <Characters>8174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HACIENDA</Company>
  <LinksUpToDate>false</LinksUpToDate>
  <CharactersWithSpaces>9641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Ruiz</dc:creator>
  <dc:description/>
  <cp:lastModifiedBy>Secretaría Conjunta</cp:lastModifiedBy>
  <cp:revision>14</cp:revision>
  <dcterms:created xsi:type="dcterms:W3CDTF">2026-03-09T13:04:00Z</dcterms:created>
  <dcterms:modified xsi:type="dcterms:W3CDTF">2026-07-24T11:45:00Z</dcterms:modified>
  <dc:language>es-ES</dc:language>
</cp:coreProperties>
</file>