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391098" w14:textId="77777777" w:rsidR="00B911B4" w:rsidRDefault="00816AE0">
      <w:pPr>
        <w:pStyle w:val="Default"/>
        <w:tabs>
          <w:tab w:val="center" w:pos="4252"/>
          <w:tab w:val="right" w:pos="8504"/>
        </w:tabs>
        <w:rPr>
          <w:b/>
          <w:bCs/>
          <w:color w:val="4E81BC"/>
          <w:sz w:val="36"/>
          <w:szCs w:val="36"/>
        </w:rPr>
      </w:pPr>
      <w:r>
        <w:rPr>
          <w:b/>
          <w:bCs/>
          <w:color w:val="4E81BC"/>
          <w:sz w:val="36"/>
          <w:szCs w:val="36"/>
        </w:rPr>
        <w:tab/>
        <w:t>FICHA TÉCNICA 9</w:t>
      </w:r>
    </w:p>
    <w:p w14:paraId="303E5137" w14:textId="77777777" w:rsidR="00B911B4" w:rsidRDefault="00816AE0">
      <w:pPr>
        <w:pStyle w:val="Default"/>
        <w:jc w:val="center"/>
        <w:rPr>
          <w:color w:val="4E81BC"/>
          <w:sz w:val="36"/>
          <w:szCs w:val="36"/>
        </w:rPr>
      </w:pPr>
      <w:r>
        <w:rPr>
          <w:b/>
          <w:bCs/>
          <w:color w:val="4E81BC"/>
          <w:sz w:val="36"/>
          <w:szCs w:val="36"/>
        </w:rPr>
        <w:t xml:space="preserve"> AUXÍLIOS ESTATAIS</w:t>
      </w:r>
    </w:p>
    <w:p w14:paraId="61BE7515" w14:textId="77777777" w:rsidR="00B911B4" w:rsidRDefault="00B911B4">
      <w:pPr>
        <w:pStyle w:val="Default"/>
        <w:rPr>
          <w:b/>
          <w:bCs/>
          <w:color w:val="4E81BC"/>
          <w:sz w:val="22"/>
          <w:szCs w:val="22"/>
        </w:rPr>
      </w:pPr>
    </w:p>
    <w:p w14:paraId="629E991E" w14:textId="77777777" w:rsidR="00B911B4" w:rsidRDefault="00816AE0">
      <w:pPr>
        <w:tabs>
          <w:tab w:val="left" w:pos="2709"/>
        </w:tabs>
        <w:spacing w:after="0" w:line="240" w:lineRule="auto"/>
        <w:rPr>
          <w:rFonts w:ascii="Tahoma" w:hAnsi="Tahoma" w:cs="Tahoma"/>
          <w:color w:val="000000"/>
          <w:sz w:val="24"/>
          <w:szCs w:val="24"/>
        </w:rPr>
      </w:pPr>
      <w:r>
        <w:rPr>
          <w:rFonts w:ascii="Tahoma" w:hAnsi="Tahoma" w:cs="Tahoma"/>
          <w:color w:val="000000"/>
          <w:sz w:val="24"/>
          <w:szCs w:val="24"/>
        </w:rPr>
        <w:tab/>
        <w:t xml:space="preserve"> </w:t>
      </w:r>
    </w:p>
    <w:p w14:paraId="796502B7" w14:textId="77777777" w:rsidR="00B911B4" w:rsidRPr="00622E60" w:rsidRDefault="00816AE0">
      <w:pPr>
        <w:pStyle w:val="Prrafodelista"/>
        <w:numPr>
          <w:ilvl w:val="0"/>
          <w:numId w:val="1"/>
        </w:numPr>
        <w:spacing w:after="0" w:line="240" w:lineRule="auto"/>
        <w:rPr>
          <w:rFonts w:ascii="Tahoma" w:hAnsi="Tahoma" w:cs="Tahoma"/>
          <w:color w:val="4E81BC"/>
        </w:rPr>
      </w:pPr>
      <w:r w:rsidRPr="00622E60">
        <w:rPr>
          <w:rFonts w:ascii="Tahoma" w:hAnsi="Tahoma" w:cs="Tahoma"/>
          <w:b/>
          <w:bCs/>
          <w:color w:val="4E81BC"/>
        </w:rPr>
        <w:t>INTRODUÇÃO</w:t>
      </w:r>
    </w:p>
    <w:p w14:paraId="3326191F" w14:textId="77777777" w:rsidR="00B911B4" w:rsidRPr="00622E60" w:rsidRDefault="00B911B4">
      <w:pPr>
        <w:pStyle w:val="Prrafodelista"/>
        <w:spacing w:after="0" w:line="240" w:lineRule="auto"/>
        <w:ind w:left="0"/>
        <w:rPr>
          <w:rFonts w:ascii="Tahoma" w:hAnsi="Tahoma" w:cs="Tahoma"/>
          <w:b/>
          <w:bCs/>
          <w:color w:val="4E81BC"/>
        </w:rPr>
      </w:pPr>
    </w:p>
    <w:p w14:paraId="579E90CE" w14:textId="77777777" w:rsidR="00B911B4" w:rsidRPr="00775A6B" w:rsidRDefault="00816AE0">
      <w:pPr>
        <w:spacing w:after="0" w:line="240" w:lineRule="auto"/>
        <w:jc w:val="both"/>
        <w:rPr>
          <w:rFonts w:ascii="Tahoma" w:hAnsi="Tahoma"/>
          <w:lang w:val="pt-PT"/>
        </w:rPr>
      </w:pPr>
      <w:r w:rsidRPr="00775A6B">
        <w:rPr>
          <w:rFonts w:ascii="Tahoma" w:hAnsi="Tahoma"/>
          <w:lang w:val="pt-PT"/>
        </w:rPr>
        <w:t>O n.º 10 das Normas de Elegibilidade faz referência à aplicação da regulamentação em matéria de auxílios estatais, pelo que os projetos que recebem apoio financeiro do Programa Interreg MAC devem respeitar as regras relativas aos auxílios estatais, sendo as entidades beneficiárias do FEDER responsáveis pelo seu cumprimento, nos termos detalhados nos pontos seguintes.</w:t>
      </w:r>
    </w:p>
    <w:p w14:paraId="792600CE" w14:textId="77777777" w:rsidR="00B911B4" w:rsidRPr="00775A6B" w:rsidRDefault="00B911B4">
      <w:pPr>
        <w:spacing w:after="0" w:line="240" w:lineRule="auto"/>
        <w:jc w:val="both"/>
        <w:rPr>
          <w:rFonts w:ascii="Tahoma" w:hAnsi="Tahoma"/>
          <w:lang w:val="pt-PT"/>
        </w:rPr>
      </w:pPr>
    </w:p>
    <w:p w14:paraId="41F9D419" w14:textId="77777777" w:rsidR="00B911B4" w:rsidRPr="00775A6B" w:rsidRDefault="00816AE0">
      <w:pPr>
        <w:spacing w:after="0" w:line="240" w:lineRule="auto"/>
        <w:jc w:val="both"/>
        <w:rPr>
          <w:rFonts w:ascii="Tahoma" w:hAnsi="Tahoma"/>
          <w:lang w:val="pt-PT"/>
        </w:rPr>
      </w:pPr>
      <w:r w:rsidRPr="00775A6B">
        <w:rPr>
          <w:rFonts w:ascii="Tahoma" w:hAnsi="Tahoma"/>
          <w:lang w:val="pt-PT"/>
        </w:rPr>
        <w:t xml:space="preserve">É necessário ter em conta que </w:t>
      </w:r>
      <w:r w:rsidRPr="00775A6B">
        <w:rPr>
          <w:rFonts w:ascii="Tahoma" w:hAnsi="Tahoma"/>
          <w:b/>
          <w:lang w:val="pt-PT"/>
        </w:rPr>
        <w:t>a aplicação do controlo dos auxílios estatais previsto nesta ficha técnica será efetuada assim que as condições de elegibilidade das despesas declaradas forem cumpridas</w:t>
      </w:r>
      <w:r w:rsidRPr="00775A6B">
        <w:rPr>
          <w:rFonts w:ascii="Tahoma" w:hAnsi="Tahoma"/>
          <w:lang w:val="pt-PT"/>
        </w:rPr>
        <w:t>; ou seja, após a análise do cumprimento dos requisitos de elegibilidade de cada despesa de acordo com a sua categoria, proceder-se-á à aplicação do disposto nesta ficha, caso se verifiquem as condições para tal. Assim, para que uma despesa seja considerada elegível, além de cumprir rigorosamente a secção «Pista de Auditoria» da ficha técnica correspondente, consoante a categoria da despesa, deverá apresentar a documentação associada ao controlo dos auxílios de Estado</w:t>
      </w:r>
      <w:r w:rsidR="00CD6B01" w:rsidRPr="00775A6B">
        <w:rPr>
          <w:rFonts w:ascii="Tahoma" w:hAnsi="Tahoma"/>
          <w:lang w:val="pt-PT"/>
        </w:rPr>
        <w:t>, quando aplicável</w:t>
      </w:r>
      <w:r w:rsidRPr="00775A6B">
        <w:rPr>
          <w:rFonts w:ascii="Tahoma" w:hAnsi="Tahoma"/>
          <w:lang w:val="pt-PT"/>
        </w:rPr>
        <w:t xml:space="preserve">.    </w:t>
      </w:r>
    </w:p>
    <w:p w14:paraId="284AA743" w14:textId="77777777" w:rsidR="00B911B4" w:rsidRPr="00775A6B" w:rsidRDefault="00B911B4">
      <w:pPr>
        <w:spacing w:after="0" w:line="240" w:lineRule="auto"/>
        <w:jc w:val="both"/>
        <w:rPr>
          <w:rFonts w:ascii="Tahoma" w:hAnsi="Tahoma"/>
          <w:lang w:val="pt-PT"/>
        </w:rPr>
      </w:pPr>
    </w:p>
    <w:p w14:paraId="52FF898F" w14:textId="77777777" w:rsidR="00B911B4" w:rsidRPr="00775A6B" w:rsidRDefault="00816AE0">
      <w:pPr>
        <w:spacing w:after="0" w:line="240" w:lineRule="auto"/>
        <w:jc w:val="both"/>
        <w:rPr>
          <w:rFonts w:ascii="Tahoma" w:hAnsi="Tahoma"/>
          <w:lang w:val="pt-PT"/>
        </w:rPr>
      </w:pPr>
      <w:r w:rsidRPr="00775A6B">
        <w:rPr>
          <w:rFonts w:ascii="Tahoma" w:hAnsi="Tahoma"/>
          <w:lang w:val="pt-PT"/>
        </w:rPr>
        <w:t>Além disso, salienta-se a possibilidade de existir um auxílio estatal</w:t>
      </w:r>
      <w:r w:rsidR="00CD6B01" w:rsidRPr="00775A6B">
        <w:rPr>
          <w:rFonts w:ascii="Tahoma" w:hAnsi="Tahoma"/>
          <w:lang w:val="pt-PT"/>
        </w:rPr>
        <w:t xml:space="preserve">, </w:t>
      </w:r>
      <w:r w:rsidRPr="00775A6B">
        <w:rPr>
          <w:rFonts w:ascii="Tahoma" w:hAnsi="Tahoma"/>
          <w:lang w:val="pt-PT"/>
        </w:rPr>
        <w:t xml:space="preserve">e o respetivo controlo, relativamente a qualquer uma das tipologias de despesas próprias do programa, pelo que a presente ficha deve ser aplicada de forma transversal a </w:t>
      </w:r>
      <w:r w:rsidR="00CD6B01" w:rsidRPr="00775A6B">
        <w:rPr>
          <w:rFonts w:ascii="Tahoma" w:hAnsi="Tahoma"/>
          <w:lang w:val="pt-PT"/>
        </w:rPr>
        <w:t xml:space="preserve">todas as categorias </w:t>
      </w:r>
      <w:r w:rsidR="00847CF2" w:rsidRPr="00775A6B">
        <w:rPr>
          <w:rFonts w:ascii="Tahoma" w:hAnsi="Tahoma"/>
          <w:lang w:val="pt-PT"/>
        </w:rPr>
        <w:t>de despesas</w:t>
      </w:r>
      <w:r w:rsidR="00CD6B01" w:rsidRPr="00775A6B">
        <w:rPr>
          <w:rFonts w:ascii="Tahoma" w:hAnsi="Tahoma"/>
          <w:lang w:val="pt-PT"/>
        </w:rPr>
        <w:t>.</w:t>
      </w:r>
    </w:p>
    <w:p w14:paraId="304D1315" w14:textId="77777777" w:rsidR="00B911B4" w:rsidRPr="00775A6B" w:rsidRDefault="00B911B4">
      <w:pPr>
        <w:spacing w:after="0" w:line="240" w:lineRule="auto"/>
        <w:jc w:val="both"/>
        <w:rPr>
          <w:rFonts w:ascii="Tahoma" w:hAnsi="Tahoma"/>
          <w:lang w:val="pt-PT"/>
        </w:rPr>
      </w:pPr>
    </w:p>
    <w:p w14:paraId="17E1E832" w14:textId="77777777" w:rsidR="00B911B4" w:rsidRPr="00775A6B" w:rsidRDefault="00B911B4">
      <w:pPr>
        <w:pStyle w:val="Prrafodelista"/>
        <w:spacing w:after="0" w:line="240" w:lineRule="auto"/>
        <w:rPr>
          <w:rFonts w:ascii="Tahoma" w:hAnsi="Tahoma" w:cs="Tahoma"/>
          <w:color w:val="4E81BC"/>
          <w:lang w:val="pt-PT"/>
        </w:rPr>
      </w:pPr>
    </w:p>
    <w:p w14:paraId="5095784A" w14:textId="77777777" w:rsidR="00B911B4" w:rsidRDefault="00816AE0">
      <w:pPr>
        <w:pStyle w:val="Prrafodelista"/>
        <w:numPr>
          <w:ilvl w:val="0"/>
          <w:numId w:val="1"/>
        </w:numPr>
        <w:spacing w:after="0" w:line="240" w:lineRule="auto"/>
        <w:rPr>
          <w:rFonts w:ascii="Tahoma" w:hAnsi="Tahoma" w:cs="Tahoma"/>
          <w:color w:val="4E81BC"/>
        </w:rPr>
      </w:pPr>
      <w:r>
        <w:rPr>
          <w:rFonts w:ascii="Tahoma" w:hAnsi="Tahoma" w:cs="Tahoma"/>
          <w:b/>
          <w:bCs/>
          <w:color w:val="4E81BC"/>
        </w:rPr>
        <w:t xml:space="preserve">DEFINIÇÃO </w:t>
      </w:r>
    </w:p>
    <w:p w14:paraId="11349C95" w14:textId="77777777" w:rsidR="00B911B4" w:rsidRDefault="00B911B4">
      <w:pPr>
        <w:pStyle w:val="Prrafodelista"/>
        <w:spacing w:after="0" w:line="240" w:lineRule="auto"/>
        <w:rPr>
          <w:rFonts w:ascii="Tahoma" w:hAnsi="Tahoma" w:cs="Tahoma"/>
          <w:color w:val="4E81BC"/>
        </w:rPr>
      </w:pPr>
    </w:p>
    <w:p w14:paraId="5F6FF3E2" w14:textId="77777777" w:rsidR="000A7AC6" w:rsidRDefault="00816AE0">
      <w:pPr>
        <w:spacing w:after="0" w:line="240" w:lineRule="auto"/>
        <w:jc w:val="both"/>
        <w:rPr>
          <w:rFonts w:ascii="Tahoma" w:hAnsi="Tahoma" w:cs="Tahoma"/>
          <w:color w:val="000000"/>
          <w:lang w:val="pt-PT"/>
        </w:rPr>
      </w:pPr>
      <w:r w:rsidRPr="00775A6B">
        <w:rPr>
          <w:rFonts w:ascii="Tahoma" w:hAnsi="Tahoma" w:cs="Tahoma"/>
          <w:color w:val="000000"/>
          <w:lang w:val="pt-PT"/>
        </w:rPr>
        <w:t xml:space="preserve">Os auxílios estatais são definidos no artigo 107.º do Tratado de Funcionamento da União Europeia (TFUE) como «os auxílios concedidos pelos Estados ou provenientes de recursos estatais, independentemente da forma que assumam, que falseiem ou ameacem falsear a concorrência, favorecendo determinadas empresas ou produções», na medida em que afetem as trocas comerciais entre os Estados-Membros. </w:t>
      </w:r>
    </w:p>
    <w:p w14:paraId="25C1569B" w14:textId="77777777" w:rsidR="00787FB9" w:rsidRDefault="00787FB9">
      <w:pPr>
        <w:spacing w:after="0" w:line="240" w:lineRule="auto"/>
        <w:jc w:val="both"/>
        <w:rPr>
          <w:rFonts w:ascii="Tahoma" w:hAnsi="Tahoma" w:cs="Tahoma"/>
          <w:color w:val="000000"/>
          <w:lang w:val="pt-PT"/>
        </w:rPr>
      </w:pPr>
    </w:p>
    <w:p w14:paraId="2A67B09C" w14:textId="1B6250C5" w:rsidR="00B911B4" w:rsidRDefault="00816AE0">
      <w:pPr>
        <w:spacing w:after="0" w:line="240" w:lineRule="auto"/>
        <w:jc w:val="both"/>
        <w:rPr>
          <w:rFonts w:ascii="Tahoma" w:hAnsi="Tahoma" w:cs="Tahoma"/>
          <w:color w:val="000000"/>
          <w:lang w:val="pt-PT"/>
        </w:rPr>
      </w:pPr>
      <w:r w:rsidRPr="00775A6B">
        <w:rPr>
          <w:rFonts w:ascii="Tahoma" w:hAnsi="Tahoma" w:cs="Tahoma"/>
          <w:color w:val="000000"/>
          <w:lang w:val="pt-PT"/>
        </w:rPr>
        <w:t>Esta definição pode ser desagregada em cinco critérios</w:t>
      </w:r>
      <w:r w:rsidR="00C37E64">
        <w:rPr>
          <w:rFonts w:ascii="Tahoma" w:hAnsi="Tahoma" w:cs="Tahoma"/>
          <w:color w:val="000000"/>
          <w:lang w:val="pt-PT"/>
        </w:rPr>
        <w:t xml:space="preserve"> cumulativos de Auxílio de Estado</w:t>
      </w:r>
      <w:r w:rsidRPr="00775A6B">
        <w:rPr>
          <w:rFonts w:ascii="Tahoma" w:hAnsi="Tahoma" w:cs="Tahoma"/>
          <w:color w:val="000000"/>
          <w:lang w:val="pt-PT"/>
        </w:rPr>
        <w:t>:</w:t>
      </w:r>
    </w:p>
    <w:p w14:paraId="0A9A2BE5" w14:textId="7CAE286F" w:rsidR="00EF1B90" w:rsidRDefault="00EF1B90">
      <w:pPr>
        <w:spacing w:after="0" w:line="240" w:lineRule="auto"/>
        <w:jc w:val="both"/>
        <w:rPr>
          <w:rFonts w:ascii="Tahoma" w:hAnsi="Tahoma" w:cs="Tahoma"/>
          <w:color w:val="000000"/>
          <w:lang w:val="pt-PT"/>
        </w:rPr>
      </w:pPr>
    </w:p>
    <w:p w14:paraId="7632681D" w14:textId="013E1A0D" w:rsidR="00761250" w:rsidRDefault="00B02B32" w:rsidP="00331F89">
      <w:pPr>
        <w:spacing w:after="0" w:line="240" w:lineRule="auto"/>
        <w:jc w:val="center"/>
        <w:rPr>
          <w:rFonts w:ascii="Tahoma" w:hAnsi="Tahoma" w:cs="Tahoma"/>
          <w:color w:val="000000"/>
          <w:lang w:val="pt-PT"/>
        </w:rPr>
      </w:pPr>
      <w:r w:rsidRPr="00B02B32">
        <w:rPr>
          <w:rFonts w:ascii="Tahoma" w:hAnsi="Tahoma" w:cs="Tahoma"/>
          <w:noProof/>
          <w:color w:val="000000"/>
          <w:lang w:eastAsia="es-ES"/>
        </w:rPr>
        <w:lastRenderedPageBreak/>
        <w:drawing>
          <wp:inline distT="0" distB="0" distL="0" distR="0" wp14:anchorId="467A1666" wp14:editId="54BA314E">
            <wp:extent cx="3321221" cy="4902452"/>
            <wp:effectExtent l="0" t="0" r="0" b="0"/>
            <wp:docPr id="99086893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868933" name=""/>
                    <pic:cNvPicPr/>
                  </pic:nvPicPr>
                  <pic:blipFill>
                    <a:blip r:embed="rId7"/>
                    <a:stretch>
                      <a:fillRect/>
                    </a:stretch>
                  </pic:blipFill>
                  <pic:spPr>
                    <a:xfrm>
                      <a:off x="0" y="0"/>
                      <a:ext cx="3321221" cy="4902452"/>
                    </a:xfrm>
                    <a:prstGeom prst="rect">
                      <a:avLst/>
                    </a:prstGeom>
                  </pic:spPr>
                </pic:pic>
              </a:graphicData>
            </a:graphic>
          </wp:inline>
        </w:drawing>
      </w:r>
    </w:p>
    <w:p w14:paraId="341EA6DE" w14:textId="77777777" w:rsidR="00761250" w:rsidRPr="00775A6B" w:rsidRDefault="00761250">
      <w:pPr>
        <w:spacing w:after="0" w:line="240" w:lineRule="auto"/>
        <w:jc w:val="both"/>
        <w:rPr>
          <w:rFonts w:ascii="Tahoma" w:hAnsi="Tahoma" w:cs="Tahoma"/>
          <w:color w:val="000000"/>
          <w:lang w:val="pt-PT"/>
        </w:rPr>
      </w:pPr>
    </w:p>
    <w:p w14:paraId="0378E933" w14:textId="77777777" w:rsidR="00B911B4" w:rsidRPr="00775A6B" w:rsidRDefault="00816AE0">
      <w:pPr>
        <w:spacing w:after="0" w:line="240" w:lineRule="auto"/>
        <w:jc w:val="both"/>
        <w:rPr>
          <w:lang w:val="pt-PT"/>
        </w:rPr>
      </w:pPr>
      <w:r w:rsidRPr="00775A6B">
        <w:rPr>
          <w:rFonts w:ascii="Tahoma" w:hAnsi="Tahoma" w:cs="Tahoma"/>
          <w:color w:val="000000"/>
          <w:lang w:val="pt-PT"/>
        </w:rPr>
        <w:t>Estes critérios são cumulativos, ou seja, se um ou vários deles não forem cumpridos, o auxílio recebido pela entidade beneficiária não está sujeito à regulamentação em matéria de auxílios estatais.</w:t>
      </w:r>
    </w:p>
    <w:p w14:paraId="5096F3B6" w14:textId="77777777" w:rsidR="00B911B4" w:rsidRPr="00775A6B" w:rsidRDefault="00B911B4">
      <w:pPr>
        <w:spacing w:after="0" w:line="240" w:lineRule="auto"/>
        <w:jc w:val="both"/>
        <w:rPr>
          <w:rFonts w:ascii="Tahoma" w:hAnsi="Tahoma" w:cs="Tahoma"/>
          <w:color w:val="000000"/>
          <w:lang w:val="pt-PT"/>
        </w:rPr>
      </w:pPr>
    </w:p>
    <w:p w14:paraId="4A107112" w14:textId="77777777" w:rsidR="00B911B4" w:rsidRPr="00775A6B" w:rsidRDefault="00816AE0">
      <w:pPr>
        <w:spacing w:after="0" w:line="240" w:lineRule="auto"/>
        <w:jc w:val="both"/>
        <w:rPr>
          <w:rFonts w:ascii="Tahoma" w:hAnsi="Tahoma" w:cs="Tahoma"/>
          <w:color w:val="000000"/>
          <w:lang w:val="pt-PT"/>
        </w:rPr>
      </w:pPr>
      <w:r w:rsidRPr="00775A6B">
        <w:rPr>
          <w:rFonts w:ascii="Tahoma" w:hAnsi="Tahoma" w:cs="Tahoma"/>
          <w:color w:val="000000"/>
          <w:lang w:val="pt-PT"/>
        </w:rPr>
        <w:t>Todos os auxílios que cumprem os critérios acima referidos estão abrangidos pelo âmbito de aplicação das regras em matéria de auxílios estatais, independentemente do estatuto jurídico das entidades que os recebem e do facto de serem ou não de fins lucrativos. Isto significa que tanto as entidades públicas como as privadas podem ser abrangidas pelo controlo das regras em matéria de auxílios estatais.</w:t>
      </w:r>
    </w:p>
    <w:p w14:paraId="73CEA537" w14:textId="77777777" w:rsidR="00B911B4" w:rsidRPr="00775A6B" w:rsidRDefault="00B911B4">
      <w:pPr>
        <w:rPr>
          <w:rFonts w:ascii="Tahoma" w:hAnsi="Tahoma" w:cs="Tahoma"/>
          <w:color w:val="000000"/>
          <w:lang w:val="pt-PT"/>
        </w:rPr>
      </w:pPr>
    </w:p>
    <w:p w14:paraId="59A51B7A" w14:textId="77777777" w:rsidR="00B911B4" w:rsidRDefault="00816AE0">
      <w:pPr>
        <w:pStyle w:val="Prrafodelista"/>
        <w:numPr>
          <w:ilvl w:val="0"/>
          <w:numId w:val="1"/>
        </w:numPr>
        <w:tabs>
          <w:tab w:val="left" w:pos="1943"/>
        </w:tabs>
        <w:spacing w:after="0" w:line="240" w:lineRule="auto"/>
        <w:jc w:val="both"/>
        <w:rPr>
          <w:rFonts w:ascii="Tahoma" w:hAnsi="Tahoma" w:cs="Tahoma"/>
          <w:b/>
          <w:bCs/>
          <w:color w:val="4E81BC"/>
        </w:rPr>
      </w:pPr>
      <w:r>
        <w:rPr>
          <w:rFonts w:ascii="Tahoma" w:hAnsi="Tahoma" w:cs="Tahoma"/>
          <w:b/>
          <w:bCs/>
          <w:color w:val="4E81BC"/>
        </w:rPr>
        <w:t>NORMATIVA</w:t>
      </w:r>
    </w:p>
    <w:p w14:paraId="2E1BF1C3" w14:textId="77777777" w:rsidR="00B911B4" w:rsidRDefault="00B911B4">
      <w:pPr>
        <w:spacing w:after="0" w:line="240" w:lineRule="auto"/>
        <w:jc w:val="both"/>
        <w:rPr>
          <w:rFonts w:ascii="Tahoma" w:hAnsi="Tahoma"/>
        </w:rPr>
      </w:pPr>
    </w:p>
    <w:p w14:paraId="01168289" w14:textId="77777777" w:rsidR="00B911B4" w:rsidRPr="00775A6B" w:rsidRDefault="00816AE0">
      <w:pPr>
        <w:spacing w:after="0" w:line="240" w:lineRule="auto"/>
        <w:jc w:val="both"/>
        <w:rPr>
          <w:rFonts w:ascii="Tahoma" w:hAnsi="Tahoma"/>
          <w:lang w:val="pt-PT"/>
        </w:rPr>
      </w:pPr>
      <w:r w:rsidRPr="00775A6B">
        <w:rPr>
          <w:rFonts w:ascii="Tahoma" w:hAnsi="Tahoma"/>
          <w:lang w:val="pt-PT"/>
        </w:rPr>
        <w:t>- Comunicação da Comissão 2016/C 262/01 relativa ao conceito de auxílio estatal.</w:t>
      </w:r>
    </w:p>
    <w:p w14:paraId="579A7A30" w14:textId="77777777" w:rsidR="00B911B4" w:rsidRPr="00775A6B" w:rsidRDefault="00B911B4">
      <w:pPr>
        <w:spacing w:after="0" w:line="240" w:lineRule="auto"/>
        <w:jc w:val="both"/>
        <w:rPr>
          <w:rFonts w:ascii="Tahoma" w:hAnsi="Tahoma"/>
          <w:lang w:val="pt-PT"/>
        </w:rPr>
      </w:pPr>
    </w:p>
    <w:p w14:paraId="5C4E7B06" w14:textId="76C07698" w:rsidR="00B911B4" w:rsidRPr="00775A6B" w:rsidRDefault="00816AE0">
      <w:pPr>
        <w:spacing w:after="0" w:line="240" w:lineRule="auto"/>
        <w:jc w:val="both"/>
        <w:rPr>
          <w:rFonts w:ascii="Tahoma" w:hAnsi="Tahoma"/>
          <w:lang w:val="pt-PT"/>
        </w:rPr>
      </w:pPr>
      <w:r w:rsidRPr="00775A6B">
        <w:rPr>
          <w:rFonts w:ascii="Tahoma" w:hAnsi="Tahoma"/>
          <w:lang w:val="pt-PT"/>
        </w:rPr>
        <w:t>- Regulamento (UE) n.º 651/2014 que declara determinadas categorias de auxílios compatíveis com o mercado interno em aplicação dos artigos 107.º e 108.º do Tratado (Regulamento Geral de Isenção por Categorias, RG</w:t>
      </w:r>
      <w:r w:rsidR="00775A6B">
        <w:rPr>
          <w:rFonts w:ascii="Tahoma" w:hAnsi="Tahoma"/>
          <w:lang w:val="pt-PT"/>
        </w:rPr>
        <w:t>I</w:t>
      </w:r>
      <w:r w:rsidRPr="00775A6B">
        <w:rPr>
          <w:rFonts w:ascii="Tahoma" w:hAnsi="Tahoma"/>
          <w:lang w:val="pt-PT"/>
        </w:rPr>
        <w:t>C), artigos 20.º e 20.º-A.</w:t>
      </w:r>
    </w:p>
    <w:p w14:paraId="49D27696" w14:textId="77777777" w:rsidR="00B911B4" w:rsidRPr="00775A6B" w:rsidRDefault="00B911B4">
      <w:pPr>
        <w:spacing w:after="0" w:line="240" w:lineRule="auto"/>
        <w:jc w:val="both"/>
        <w:rPr>
          <w:rFonts w:ascii="Tahoma" w:hAnsi="Tahoma"/>
          <w:lang w:val="pt-PT"/>
        </w:rPr>
      </w:pPr>
    </w:p>
    <w:p w14:paraId="2A1C376E" w14:textId="77777777" w:rsidR="00B911B4" w:rsidRPr="00775A6B" w:rsidRDefault="00816AE0">
      <w:pPr>
        <w:spacing w:after="0" w:line="240" w:lineRule="auto"/>
        <w:jc w:val="both"/>
        <w:rPr>
          <w:rFonts w:ascii="Tahoma" w:hAnsi="Tahoma"/>
          <w:lang w:val="pt-PT"/>
        </w:rPr>
      </w:pPr>
      <w:r w:rsidRPr="00775A6B">
        <w:rPr>
          <w:rFonts w:ascii="Tahoma" w:hAnsi="Tahoma"/>
          <w:b/>
          <w:lang w:val="pt-PT"/>
        </w:rPr>
        <w:lastRenderedPageBreak/>
        <w:t xml:space="preserve">A. Artigo 20.º: </w:t>
      </w:r>
      <w:r w:rsidRPr="00775A6B">
        <w:rPr>
          <w:rFonts w:ascii="Tahoma" w:hAnsi="Tahoma"/>
          <w:lang w:val="pt-PT"/>
        </w:rPr>
        <w:t>Auxílios destinados a cobrir os custos suportados pelas empresas participantes em projetos de Cooperação Territorial Europeia.</w:t>
      </w:r>
    </w:p>
    <w:p w14:paraId="17872FC2" w14:textId="77777777" w:rsidR="00B911B4" w:rsidRPr="00775A6B" w:rsidRDefault="00B911B4">
      <w:pPr>
        <w:spacing w:after="0" w:line="240" w:lineRule="auto"/>
        <w:jc w:val="both"/>
        <w:rPr>
          <w:rFonts w:ascii="Tahoma" w:hAnsi="Tahoma"/>
          <w:lang w:val="pt-PT"/>
        </w:rPr>
      </w:pPr>
    </w:p>
    <w:p w14:paraId="383FF32E" w14:textId="77777777" w:rsidR="00B911B4" w:rsidRPr="00775A6B" w:rsidRDefault="00816AE0">
      <w:pPr>
        <w:spacing w:after="0" w:line="240" w:lineRule="auto"/>
        <w:jc w:val="both"/>
        <w:rPr>
          <w:lang w:val="pt-PT"/>
        </w:rPr>
      </w:pPr>
      <w:r w:rsidRPr="00775A6B">
        <w:rPr>
          <w:rFonts w:ascii="Tahoma" w:hAnsi="Tahoma"/>
          <w:lang w:val="pt-PT"/>
        </w:rPr>
        <w:t>De acordo com o disposto neste artigo, o programa Interreg MAC permitiu a participação de empresas como parceiras nos projetos, com um orçamento específico para a realização das atividades. Para o efeito, foram comunicados à Comissão Europeia os dados necessários, tendo sido atribuído ao programa o número de auxílio S.A. 110211.</w:t>
      </w:r>
    </w:p>
    <w:p w14:paraId="0860ED0D" w14:textId="77777777" w:rsidR="00B911B4" w:rsidRPr="00775A6B" w:rsidRDefault="00B911B4">
      <w:pPr>
        <w:spacing w:after="0" w:line="240" w:lineRule="auto"/>
        <w:jc w:val="both"/>
        <w:rPr>
          <w:rFonts w:ascii="Tahoma" w:hAnsi="Tahoma"/>
          <w:lang w:val="pt-PT"/>
        </w:rPr>
      </w:pPr>
    </w:p>
    <w:p w14:paraId="0972CE30" w14:textId="77777777" w:rsidR="00B911B4" w:rsidRPr="00775A6B" w:rsidRDefault="00816AE0">
      <w:pPr>
        <w:spacing w:after="0" w:line="240" w:lineRule="auto"/>
        <w:jc w:val="both"/>
        <w:rPr>
          <w:rFonts w:ascii="Tahoma" w:hAnsi="Tahoma"/>
          <w:lang w:val="pt-PT"/>
        </w:rPr>
      </w:pPr>
      <w:r w:rsidRPr="00775A6B">
        <w:rPr>
          <w:rFonts w:ascii="Tahoma" w:hAnsi="Tahoma"/>
          <w:b/>
          <w:lang w:val="pt-PT"/>
        </w:rPr>
        <w:t xml:space="preserve">B. Artigo 20.º-A: </w:t>
      </w:r>
      <w:r w:rsidRPr="00775A6B">
        <w:rPr>
          <w:rFonts w:ascii="Tahoma" w:hAnsi="Tahoma"/>
          <w:lang w:val="pt-PT"/>
        </w:rPr>
        <w:t>Montantes limitados de auxílio a empresas para a participação em projetos de Cooperação Territorial Europeia.</w:t>
      </w:r>
    </w:p>
    <w:p w14:paraId="145CBF56" w14:textId="77777777" w:rsidR="00B911B4" w:rsidRPr="00775A6B" w:rsidRDefault="00B911B4">
      <w:pPr>
        <w:spacing w:after="0" w:line="240" w:lineRule="auto"/>
        <w:jc w:val="both"/>
        <w:rPr>
          <w:rFonts w:ascii="Tahoma" w:hAnsi="Tahoma"/>
          <w:lang w:val="pt-PT"/>
        </w:rPr>
      </w:pPr>
    </w:p>
    <w:p w14:paraId="45250D0D" w14:textId="77777777" w:rsidR="00B911B4" w:rsidRPr="00775A6B" w:rsidRDefault="00816AE0">
      <w:pPr>
        <w:spacing w:after="0" w:line="240" w:lineRule="auto"/>
        <w:jc w:val="both"/>
        <w:rPr>
          <w:rFonts w:ascii="Tahoma" w:hAnsi="Tahoma"/>
          <w:lang w:val="pt-PT"/>
        </w:rPr>
      </w:pPr>
      <w:r w:rsidRPr="00775A6B">
        <w:rPr>
          <w:rFonts w:ascii="Tahoma" w:hAnsi="Tahoma"/>
          <w:lang w:val="pt-PT"/>
        </w:rPr>
        <w:t>Em aplicação deste artigo, podem existir entidades que recebam benefícios ou ajudas, a cargo do orçamento das entidades parceiras do projeto, decorrentes das atividades do projeto.</w:t>
      </w:r>
    </w:p>
    <w:p w14:paraId="39727826" w14:textId="77777777" w:rsidR="00B911B4" w:rsidRPr="00775A6B" w:rsidRDefault="00B911B4">
      <w:pPr>
        <w:spacing w:after="0" w:line="240" w:lineRule="auto"/>
        <w:jc w:val="both"/>
        <w:rPr>
          <w:rFonts w:ascii="Tahoma" w:hAnsi="Tahoma"/>
          <w:lang w:val="pt-PT"/>
        </w:rPr>
      </w:pPr>
    </w:p>
    <w:p w14:paraId="77782E21" w14:textId="77777777" w:rsidR="00B911B4" w:rsidRPr="00775A6B" w:rsidRDefault="00816AE0">
      <w:pPr>
        <w:spacing w:after="0" w:line="240" w:lineRule="auto"/>
        <w:jc w:val="both"/>
        <w:rPr>
          <w:rFonts w:ascii="Tahoma" w:hAnsi="Tahoma"/>
          <w:b/>
          <w:lang w:val="pt-PT"/>
        </w:rPr>
      </w:pPr>
      <w:r w:rsidRPr="00775A6B">
        <w:rPr>
          <w:rFonts w:ascii="Tahoma" w:hAnsi="Tahoma"/>
          <w:b/>
          <w:lang w:val="pt-PT"/>
        </w:rPr>
        <w:t>É importante sublinhar que não é permitido o apoio financeiro entendido como concessão de ajuda direta ou subvenção.</w:t>
      </w:r>
    </w:p>
    <w:p w14:paraId="721F71F3" w14:textId="77777777" w:rsidR="00B911B4" w:rsidRPr="00775A6B" w:rsidRDefault="00B911B4">
      <w:pPr>
        <w:spacing w:after="0" w:line="240" w:lineRule="auto"/>
        <w:jc w:val="both"/>
        <w:rPr>
          <w:rFonts w:ascii="Tahoma" w:hAnsi="Tahoma"/>
          <w:lang w:val="pt-PT"/>
        </w:rPr>
      </w:pPr>
    </w:p>
    <w:p w14:paraId="3B6366FF" w14:textId="77777777" w:rsidR="00B911B4" w:rsidRPr="00775A6B" w:rsidRDefault="00816AE0">
      <w:pPr>
        <w:spacing w:after="0" w:line="240" w:lineRule="auto"/>
        <w:jc w:val="both"/>
        <w:rPr>
          <w:lang w:val="pt-PT"/>
        </w:rPr>
      </w:pPr>
      <w:r w:rsidRPr="00775A6B">
        <w:rPr>
          <w:rFonts w:ascii="Tahoma" w:hAnsi="Tahoma"/>
          <w:lang w:val="pt-PT"/>
        </w:rPr>
        <w:t>O montante total do apoio ao abrigo desta isenção não deve exceder 22 000 euros por empresa e por projeto; para tal, os parceiros devem verificar que não é excedido o montante total de 22 000 euros por empresa no seu projeto.</w:t>
      </w:r>
    </w:p>
    <w:p w14:paraId="6F7317E1" w14:textId="77777777" w:rsidR="00B911B4" w:rsidRPr="00775A6B" w:rsidRDefault="00B911B4">
      <w:pPr>
        <w:spacing w:after="0" w:line="240" w:lineRule="auto"/>
        <w:jc w:val="both"/>
        <w:rPr>
          <w:rFonts w:ascii="Tahoma" w:hAnsi="Tahoma"/>
          <w:lang w:val="pt-PT"/>
        </w:rPr>
      </w:pPr>
    </w:p>
    <w:p w14:paraId="2D680B60" w14:textId="77777777" w:rsidR="00B911B4" w:rsidRPr="00775A6B" w:rsidRDefault="00816AE0">
      <w:pPr>
        <w:spacing w:after="0" w:line="240" w:lineRule="auto"/>
        <w:jc w:val="both"/>
        <w:rPr>
          <w:rFonts w:ascii="Tahoma" w:hAnsi="Tahoma"/>
          <w:lang w:val="pt-PT"/>
        </w:rPr>
      </w:pPr>
      <w:r w:rsidRPr="00775A6B">
        <w:rPr>
          <w:rFonts w:ascii="Tahoma" w:hAnsi="Tahoma"/>
          <w:lang w:val="pt-PT"/>
        </w:rPr>
        <w:t xml:space="preserve">Para cumprir esta obrigação, o beneficiário do FEDER do projeto deverá enviar à entidade uma comunicação informando que o apoio que recebe é considerado um auxílio estatal. Da mesma forma, a entidade beneficiária desse apoio deverá comunicar ao beneficiário do FEDER qualquer outro apoio estatal abrangido pelo presente artigo por projeto, indicando a sua natureza e o montante correspondente. Para efeitos do Programa, tal será feito mediante o anexo dos Anexos I e II mencionados na secção seguinte. </w:t>
      </w:r>
    </w:p>
    <w:p w14:paraId="0B892670" w14:textId="77777777" w:rsidR="00B911B4" w:rsidRPr="00775A6B" w:rsidRDefault="00B911B4">
      <w:pPr>
        <w:spacing w:after="0" w:line="240" w:lineRule="auto"/>
        <w:jc w:val="both"/>
        <w:rPr>
          <w:rFonts w:ascii="Tahoma" w:hAnsi="Tahoma"/>
          <w:lang w:val="pt-PT"/>
        </w:rPr>
      </w:pPr>
    </w:p>
    <w:p w14:paraId="279451E2" w14:textId="77777777" w:rsidR="00B911B4" w:rsidRPr="00775A6B" w:rsidRDefault="00B911B4">
      <w:pPr>
        <w:spacing w:after="0" w:line="240" w:lineRule="auto"/>
        <w:rPr>
          <w:rFonts w:ascii="Tahoma" w:hAnsi="Tahoma" w:cs="Tahoma"/>
          <w:b/>
          <w:bCs/>
          <w:color w:val="4E81BC"/>
          <w:lang w:val="pt-PT"/>
        </w:rPr>
      </w:pPr>
    </w:p>
    <w:p w14:paraId="0016119D" w14:textId="77777777" w:rsidR="00B911B4" w:rsidRPr="00775A6B" w:rsidRDefault="00816AE0">
      <w:pPr>
        <w:spacing w:after="0" w:line="240" w:lineRule="auto"/>
        <w:rPr>
          <w:rFonts w:ascii="Tahoma" w:hAnsi="Tahoma" w:cs="Tahoma"/>
          <w:color w:val="4E81BC"/>
          <w:lang w:val="pt-PT"/>
        </w:rPr>
      </w:pPr>
      <w:r w:rsidRPr="00775A6B">
        <w:rPr>
          <w:rFonts w:ascii="Tahoma" w:hAnsi="Tahoma" w:cs="Tahoma"/>
          <w:b/>
          <w:bCs/>
          <w:color w:val="4E81BC"/>
          <w:lang w:val="pt-PT"/>
        </w:rPr>
        <w:t xml:space="preserve">4. PISTA DE AUDITORIA </w:t>
      </w:r>
    </w:p>
    <w:p w14:paraId="69AE6496" w14:textId="77777777" w:rsidR="00B911B4" w:rsidRPr="00775A6B" w:rsidRDefault="00B911B4">
      <w:pPr>
        <w:spacing w:after="0" w:line="240" w:lineRule="auto"/>
        <w:rPr>
          <w:rFonts w:ascii="Tahoma" w:hAnsi="Tahoma" w:cs="Tahoma"/>
          <w:color w:val="4E81BC"/>
          <w:lang w:val="pt-PT"/>
        </w:rPr>
      </w:pPr>
    </w:p>
    <w:p w14:paraId="6255C34E" w14:textId="77777777" w:rsidR="00B911B4" w:rsidRPr="00775A6B" w:rsidRDefault="00816AE0">
      <w:pPr>
        <w:spacing w:after="0" w:line="240" w:lineRule="auto"/>
        <w:jc w:val="both"/>
        <w:rPr>
          <w:rFonts w:ascii="Tahoma" w:hAnsi="Tahoma" w:cs="Tahoma"/>
          <w:color w:val="000000"/>
          <w:lang w:val="pt-PT"/>
        </w:rPr>
      </w:pPr>
      <w:r w:rsidRPr="00775A6B">
        <w:rPr>
          <w:rFonts w:ascii="Tahoma" w:hAnsi="Tahoma" w:cs="Tahoma"/>
          <w:color w:val="000000"/>
          <w:lang w:val="pt-PT"/>
        </w:rPr>
        <w:t xml:space="preserve">Para efeitos de controlo, os documentos comprovativos que devem fazer parte da </w:t>
      </w:r>
      <w:r w:rsidRPr="00775A6B">
        <w:rPr>
          <w:rFonts w:ascii="Tahoma" w:hAnsi="Tahoma" w:cs="Tahoma"/>
          <w:b/>
          <w:bCs/>
          <w:color w:val="000000"/>
          <w:lang w:val="pt-PT"/>
        </w:rPr>
        <w:t xml:space="preserve">pista de auditoria </w:t>
      </w:r>
      <w:r w:rsidRPr="00775A6B">
        <w:rPr>
          <w:rFonts w:ascii="Tahoma" w:hAnsi="Tahoma" w:cs="Tahoma"/>
          <w:color w:val="000000"/>
          <w:lang w:val="pt-PT"/>
        </w:rPr>
        <w:t>são os seguintes</w:t>
      </w:r>
      <w:r w:rsidRPr="00775A6B">
        <w:rPr>
          <w:rFonts w:ascii="Tahoma" w:hAnsi="Tahoma" w:cs="Tahoma"/>
          <w:lang w:val="pt-PT"/>
        </w:rPr>
        <w:t xml:space="preserve">: </w:t>
      </w:r>
    </w:p>
    <w:p w14:paraId="0F3275A2" w14:textId="77777777" w:rsidR="00B911B4" w:rsidRPr="00775A6B" w:rsidRDefault="00B911B4">
      <w:pPr>
        <w:spacing w:after="0" w:line="240" w:lineRule="auto"/>
        <w:jc w:val="both"/>
        <w:rPr>
          <w:rFonts w:ascii="Tahoma" w:hAnsi="Tahoma" w:cs="Tahoma"/>
          <w:lang w:val="pt-PT"/>
        </w:rPr>
      </w:pPr>
    </w:p>
    <w:p w14:paraId="1DD789B7" w14:textId="77777777" w:rsidR="00B911B4" w:rsidRPr="00775A6B" w:rsidRDefault="00816AE0">
      <w:pPr>
        <w:pStyle w:val="Prrafodelista"/>
        <w:numPr>
          <w:ilvl w:val="0"/>
          <w:numId w:val="2"/>
        </w:numPr>
        <w:spacing w:after="0" w:line="240" w:lineRule="auto"/>
        <w:jc w:val="both"/>
        <w:rPr>
          <w:rFonts w:ascii="Tahoma" w:hAnsi="Tahoma" w:cs="Tahoma"/>
          <w:lang w:val="pt-PT"/>
        </w:rPr>
      </w:pPr>
      <w:r w:rsidRPr="00775A6B">
        <w:rPr>
          <w:rFonts w:ascii="Tahoma" w:hAnsi="Tahoma"/>
          <w:b/>
          <w:lang w:val="pt-PT"/>
        </w:rPr>
        <w:t>Anexo I</w:t>
      </w:r>
      <w:r w:rsidRPr="00775A6B">
        <w:rPr>
          <w:rFonts w:ascii="Tahoma" w:hAnsi="Tahoma"/>
          <w:lang w:val="pt-PT"/>
        </w:rPr>
        <w:t>: O beneficiário do FEDER do projeto deverá enviar à entidade uma comunicação informando que o auxílio que recebe é considerado um auxílio estatal.</w:t>
      </w:r>
    </w:p>
    <w:p w14:paraId="70CAFE5B" w14:textId="77777777" w:rsidR="00B911B4" w:rsidRPr="00775A6B" w:rsidRDefault="00816AE0">
      <w:pPr>
        <w:pStyle w:val="Prrafodelista"/>
        <w:numPr>
          <w:ilvl w:val="0"/>
          <w:numId w:val="2"/>
        </w:numPr>
        <w:spacing w:after="0" w:line="240" w:lineRule="auto"/>
        <w:jc w:val="both"/>
        <w:rPr>
          <w:rFonts w:ascii="Tahoma" w:hAnsi="Tahoma" w:cs="Tahoma"/>
          <w:lang w:val="pt-PT"/>
        </w:rPr>
      </w:pPr>
      <w:r w:rsidRPr="00775A6B">
        <w:rPr>
          <w:rFonts w:ascii="Tahoma" w:hAnsi="Tahoma"/>
          <w:b/>
          <w:lang w:val="pt-PT"/>
        </w:rPr>
        <w:t xml:space="preserve">Anexo II: </w:t>
      </w:r>
      <w:r w:rsidRPr="00775A6B">
        <w:rPr>
          <w:rFonts w:ascii="Tahoma" w:hAnsi="Tahoma"/>
          <w:lang w:val="pt-PT"/>
        </w:rPr>
        <w:t>A entidade beneficiária desse auxílio deverá comunicar ao beneficiário do FEDER qualquer outro auxílio estatal abrangido pelo presente artigo por projeto, indicando a sua natureza e o montante correspondente.</w:t>
      </w:r>
    </w:p>
    <w:p w14:paraId="368CD0D6" w14:textId="77777777" w:rsidR="00B911B4" w:rsidRPr="00775A6B" w:rsidRDefault="00B911B4">
      <w:pPr>
        <w:spacing w:after="0" w:line="240" w:lineRule="auto"/>
        <w:jc w:val="both"/>
        <w:rPr>
          <w:rFonts w:ascii="Tahoma" w:hAnsi="Tahoma" w:cs="Tahoma"/>
          <w:u w:val="single"/>
          <w:lang w:val="pt-PT"/>
        </w:rPr>
      </w:pPr>
      <w:bookmarkStart w:id="0" w:name="_GoBack"/>
      <w:bookmarkEnd w:id="0"/>
    </w:p>
    <w:p w14:paraId="53346B3F" w14:textId="77777777" w:rsidR="00B911B4" w:rsidRDefault="00816AE0">
      <w:pPr>
        <w:spacing w:after="0" w:line="240" w:lineRule="auto"/>
        <w:jc w:val="both"/>
        <w:rPr>
          <w:rFonts w:ascii="Tahoma" w:hAnsi="Tahoma" w:cs="Tahoma"/>
          <w:u w:val="single"/>
          <w:lang w:val="pt-PT"/>
        </w:rPr>
      </w:pPr>
      <w:r w:rsidRPr="00775A6B">
        <w:rPr>
          <w:rFonts w:ascii="Tahoma" w:hAnsi="Tahoma" w:cs="Tahoma"/>
          <w:u w:val="single"/>
          <w:lang w:val="pt-PT"/>
        </w:rPr>
        <w:t>Caso seja necessário, deverão ser anexados os Anexos I e II elaborados para o efeito e disponíveis na secção «Documentação» do site do programa.</w:t>
      </w:r>
    </w:p>
    <w:p w14:paraId="27F1D45A" w14:textId="77777777" w:rsidR="00331F89" w:rsidRDefault="00331F89">
      <w:pPr>
        <w:spacing w:after="0" w:line="240" w:lineRule="auto"/>
        <w:jc w:val="both"/>
        <w:rPr>
          <w:rFonts w:ascii="Tahoma" w:hAnsi="Tahoma" w:cs="Tahoma"/>
          <w:u w:val="single"/>
          <w:lang w:val="pt-PT"/>
        </w:rPr>
      </w:pPr>
    </w:p>
    <w:p w14:paraId="036C3DB1" w14:textId="77777777" w:rsidR="00331F89" w:rsidRPr="00775A6B" w:rsidRDefault="00331F89">
      <w:pPr>
        <w:spacing w:after="0" w:line="240" w:lineRule="auto"/>
        <w:jc w:val="both"/>
        <w:rPr>
          <w:rFonts w:ascii="Tahoma" w:hAnsi="Tahoma" w:cs="Tahoma"/>
          <w:lang w:val="pt-PT"/>
        </w:rPr>
      </w:pPr>
    </w:p>
    <w:p w14:paraId="1D0330FF" w14:textId="77777777" w:rsidR="00B911B4" w:rsidRPr="00775A6B" w:rsidRDefault="00B911B4">
      <w:pPr>
        <w:spacing w:after="0" w:line="240" w:lineRule="auto"/>
        <w:jc w:val="both"/>
        <w:rPr>
          <w:rFonts w:ascii="Tahoma" w:hAnsi="Tahoma" w:cs="Tahoma"/>
          <w:lang w:val="pt-PT"/>
        </w:rPr>
      </w:pPr>
    </w:p>
    <w:p w14:paraId="1E7B69B3" w14:textId="77777777" w:rsidR="00B911B4" w:rsidRPr="00775A6B" w:rsidRDefault="00B911B4">
      <w:pPr>
        <w:spacing w:after="0" w:line="240" w:lineRule="auto"/>
        <w:jc w:val="both"/>
        <w:rPr>
          <w:rFonts w:ascii="Tahoma" w:hAnsi="Tahoma" w:cs="Tahoma"/>
          <w:lang w:val="pt-PT"/>
        </w:rPr>
      </w:pPr>
    </w:p>
    <w:p w14:paraId="7F92C14E" w14:textId="77777777" w:rsidR="00B911B4" w:rsidRPr="00775A6B" w:rsidRDefault="00816AE0">
      <w:pPr>
        <w:spacing w:after="0" w:line="240" w:lineRule="auto"/>
        <w:rPr>
          <w:rFonts w:ascii="Tahoma" w:hAnsi="Tahoma" w:cs="Tahoma"/>
          <w:b/>
          <w:bCs/>
          <w:color w:val="4E81BC"/>
          <w:lang w:val="pt-PT"/>
        </w:rPr>
      </w:pPr>
      <w:r w:rsidRPr="00775A6B">
        <w:rPr>
          <w:rFonts w:ascii="Tahoma" w:hAnsi="Tahoma" w:cs="Tahoma"/>
          <w:b/>
          <w:bCs/>
          <w:color w:val="4E81BC"/>
          <w:lang w:val="pt-PT"/>
        </w:rPr>
        <w:t>5. EXEMPLOS</w:t>
      </w:r>
    </w:p>
    <w:p w14:paraId="3C0EBFE7" w14:textId="77777777" w:rsidR="00B911B4" w:rsidRPr="00775A6B" w:rsidRDefault="00B911B4">
      <w:pPr>
        <w:spacing w:after="0" w:line="240" w:lineRule="auto"/>
        <w:rPr>
          <w:b/>
          <w:bCs/>
          <w:color w:val="4E81BC"/>
          <w:shd w:val="clear" w:color="auto" w:fill="81D41A"/>
          <w:lang w:val="pt-PT"/>
        </w:rPr>
      </w:pPr>
    </w:p>
    <w:p w14:paraId="1CE4D06B" w14:textId="6A8F2120" w:rsidR="00B911B4" w:rsidRPr="00775A6B" w:rsidRDefault="00816AE0" w:rsidP="0025038E">
      <w:pPr>
        <w:spacing w:after="0" w:line="240" w:lineRule="auto"/>
        <w:jc w:val="both"/>
        <w:rPr>
          <w:rFonts w:ascii="Tahoma" w:hAnsi="Tahoma" w:cs="Tahoma"/>
          <w:color w:val="000000"/>
          <w:lang w:val="pt-PT"/>
        </w:rPr>
      </w:pPr>
      <w:r w:rsidRPr="00775A6B">
        <w:rPr>
          <w:rFonts w:ascii="Tahoma" w:hAnsi="Tahoma" w:cs="Tahoma"/>
          <w:color w:val="000000"/>
          <w:lang w:val="pt-PT"/>
        </w:rPr>
        <w:lastRenderedPageBreak/>
        <w:t xml:space="preserve">Num projeto MAC, a parceria pode ser constituída por entidades que destinam parte do seu orçamento à </w:t>
      </w:r>
      <w:r w:rsidRPr="00775A6B">
        <w:rPr>
          <w:rFonts w:ascii="Tahoma" w:hAnsi="Tahoma" w:cs="Tahoma"/>
          <w:b/>
          <w:color w:val="000000"/>
          <w:lang w:val="pt-PT"/>
        </w:rPr>
        <w:t xml:space="preserve">prestação de serviços individualizados e </w:t>
      </w:r>
      <w:r w:rsidR="00127F22" w:rsidRPr="00775A6B">
        <w:rPr>
          <w:rFonts w:ascii="Tahoma" w:hAnsi="Tahoma" w:cs="Tahoma"/>
          <w:b/>
          <w:color w:val="000000"/>
          <w:lang w:val="pt-PT"/>
        </w:rPr>
        <w:t xml:space="preserve">gratuitos </w:t>
      </w:r>
      <w:r w:rsidRPr="00775A6B">
        <w:rPr>
          <w:rFonts w:ascii="Tahoma" w:hAnsi="Tahoma" w:cs="Tahoma"/>
          <w:b/>
          <w:color w:val="000000"/>
          <w:lang w:val="pt-PT"/>
        </w:rPr>
        <w:t>a empresas</w:t>
      </w:r>
      <w:r w:rsidRPr="00775A6B">
        <w:rPr>
          <w:rFonts w:ascii="Tahoma" w:hAnsi="Tahoma" w:cs="Tahoma"/>
          <w:color w:val="000000"/>
          <w:lang w:val="pt-PT"/>
        </w:rPr>
        <w:t xml:space="preserve">, pelo que estas passam a ser </w:t>
      </w:r>
      <w:r w:rsidRPr="00775A6B">
        <w:rPr>
          <w:rFonts w:ascii="Tahoma" w:hAnsi="Tahoma" w:cs="Tahoma"/>
          <w:b/>
          <w:color w:val="000000"/>
          <w:lang w:val="pt-PT"/>
        </w:rPr>
        <w:t>as destinatárias finais dos auxílios</w:t>
      </w:r>
      <w:r w:rsidRPr="00775A6B">
        <w:rPr>
          <w:rFonts w:ascii="Tahoma" w:hAnsi="Tahoma" w:cs="Tahoma"/>
          <w:color w:val="000000"/>
          <w:lang w:val="pt-PT"/>
        </w:rPr>
        <w:t>.</w:t>
      </w:r>
    </w:p>
    <w:p w14:paraId="111C6800" w14:textId="77777777" w:rsidR="00B911B4" w:rsidRPr="00775A6B" w:rsidRDefault="00B911B4" w:rsidP="0025038E">
      <w:pPr>
        <w:spacing w:after="0" w:line="240" w:lineRule="auto"/>
        <w:jc w:val="both"/>
        <w:rPr>
          <w:rFonts w:ascii="Tahoma" w:hAnsi="Tahoma" w:cs="Tahoma"/>
          <w:color w:val="000000"/>
          <w:lang w:val="pt-PT"/>
        </w:rPr>
      </w:pPr>
    </w:p>
    <w:p w14:paraId="21BADC29" w14:textId="005DA35D" w:rsidR="00EF047F" w:rsidRDefault="00816AE0" w:rsidP="0025038E">
      <w:pPr>
        <w:spacing w:after="0" w:line="240" w:lineRule="auto"/>
        <w:jc w:val="both"/>
        <w:rPr>
          <w:rFonts w:ascii="Tahoma" w:hAnsi="Tahoma" w:cs="Tahoma"/>
          <w:b/>
          <w:color w:val="000000"/>
          <w:lang w:val="pt-PT"/>
        </w:rPr>
      </w:pPr>
      <w:r w:rsidRPr="00775A6B">
        <w:rPr>
          <w:rFonts w:ascii="Tahoma" w:hAnsi="Tahoma" w:cs="Tahoma"/>
          <w:b/>
          <w:color w:val="000000"/>
          <w:lang w:val="pt-PT"/>
        </w:rPr>
        <w:t xml:space="preserve">A </w:t>
      </w:r>
      <w:r w:rsidR="00127F22" w:rsidRPr="00775A6B">
        <w:rPr>
          <w:rFonts w:ascii="Tahoma" w:hAnsi="Tahoma" w:cs="Tahoma"/>
          <w:b/>
          <w:color w:val="000000"/>
          <w:lang w:val="pt-PT"/>
        </w:rPr>
        <w:t xml:space="preserve">seguir, apresentam-se, a título de exemplo, algumas ações às quais </w:t>
      </w:r>
      <w:r w:rsidR="00127F22" w:rsidRPr="00775A6B">
        <w:rPr>
          <w:rFonts w:ascii="Tahoma" w:hAnsi="Tahoma" w:cs="Tahoma"/>
          <w:b/>
          <w:color w:val="000000"/>
          <w:u w:val="single"/>
          <w:lang w:val="pt-PT"/>
        </w:rPr>
        <w:t>se aplicaria o artigo 20.º-A</w:t>
      </w:r>
      <w:r w:rsidR="00331F89">
        <w:rPr>
          <w:rFonts w:ascii="Tahoma" w:hAnsi="Tahoma" w:cs="Tahoma"/>
          <w:b/>
          <w:color w:val="000000"/>
          <w:u w:val="single"/>
          <w:lang w:val="pt-PT"/>
        </w:rPr>
        <w:t>:</w:t>
      </w:r>
    </w:p>
    <w:p w14:paraId="561B4B1A" w14:textId="77777777" w:rsidR="00046B5B" w:rsidRDefault="00046B5B" w:rsidP="0025038E">
      <w:pPr>
        <w:spacing w:after="0" w:line="240" w:lineRule="auto"/>
        <w:jc w:val="both"/>
        <w:rPr>
          <w:rFonts w:ascii="Tahoma" w:hAnsi="Tahoma" w:cs="Tahoma"/>
          <w:b/>
          <w:color w:val="000000"/>
          <w:lang w:val="pt-PT"/>
        </w:rPr>
      </w:pPr>
    </w:p>
    <w:p w14:paraId="3FF6AD06" w14:textId="66D645DF" w:rsidR="00046B5B" w:rsidRDefault="00EF0DE0" w:rsidP="00331F89">
      <w:pPr>
        <w:spacing w:after="0" w:line="240" w:lineRule="auto"/>
        <w:jc w:val="center"/>
        <w:rPr>
          <w:rFonts w:ascii="Tahoma" w:hAnsi="Tahoma" w:cs="Tahoma"/>
          <w:b/>
          <w:color w:val="000000"/>
          <w:lang w:val="pt-PT"/>
        </w:rPr>
      </w:pPr>
      <w:r w:rsidRPr="00EF0DE0">
        <w:rPr>
          <w:rFonts w:ascii="Tahoma" w:hAnsi="Tahoma" w:cs="Tahoma"/>
          <w:b/>
          <w:noProof/>
          <w:color w:val="000000"/>
          <w:lang w:eastAsia="es-ES"/>
        </w:rPr>
        <w:drawing>
          <wp:inline distT="0" distB="0" distL="0" distR="0" wp14:anchorId="45435973" wp14:editId="15A456F3">
            <wp:extent cx="4232138" cy="5162550"/>
            <wp:effectExtent l="0" t="0" r="0" b="0"/>
            <wp:docPr id="587448043"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448043" name=""/>
                    <pic:cNvPicPr/>
                  </pic:nvPicPr>
                  <pic:blipFill>
                    <a:blip r:embed="rId8"/>
                    <a:stretch>
                      <a:fillRect/>
                    </a:stretch>
                  </pic:blipFill>
                  <pic:spPr>
                    <a:xfrm>
                      <a:off x="0" y="0"/>
                      <a:ext cx="4241650" cy="5174153"/>
                    </a:xfrm>
                    <a:prstGeom prst="rect">
                      <a:avLst/>
                    </a:prstGeom>
                  </pic:spPr>
                </pic:pic>
              </a:graphicData>
            </a:graphic>
          </wp:inline>
        </w:drawing>
      </w:r>
    </w:p>
    <w:p w14:paraId="1A8F7E6A" w14:textId="2414E659" w:rsidR="00046B5B" w:rsidRDefault="00046B5B" w:rsidP="00331F89">
      <w:pPr>
        <w:spacing w:after="0" w:line="240" w:lineRule="auto"/>
        <w:jc w:val="center"/>
        <w:rPr>
          <w:rFonts w:ascii="Tahoma" w:hAnsi="Tahoma" w:cs="Tahoma"/>
          <w:b/>
          <w:color w:val="000000"/>
          <w:lang w:val="pt-PT"/>
        </w:rPr>
      </w:pPr>
    </w:p>
    <w:p w14:paraId="41D36FC1" w14:textId="77777777" w:rsidR="00046B5B" w:rsidRDefault="00046B5B" w:rsidP="0025038E">
      <w:pPr>
        <w:spacing w:after="0" w:line="240" w:lineRule="auto"/>
        <w:jc w:val="both"/>
        <w:rPr>
          <w:rFonts w:ascii="Tahoma" w:hAnsi="Tahoma" w:cs="Tahoma"/>
          <w:b/>
          <w:color w:val="000000"/>
          <w:lang w:val="pt-PT"/>
        </w:rPr>
      </w:pPr>
    </w:p>
    <w:p w14:paraId="7C99CEB2" w14:textId="77777777" w:rsidR="0025038E" w:rsidRPr="00775A6B" w:rsidRDefault="0025038E" w:rsidP="000D2AB0">
      <w:pPr>
        <w:spacing w:after="0" w:line="240" w:lineRule="auto"/>
        <w:jc w:val="both"/>
        <w:rPr>
          <w:rFonts w:ascii="Tahoma" w:hAnsi="Tahoma" w:cs="Tahoma"/>
          <w:b/>
          <w:color w:val="000000"/>
          <w:lang w:val="pt-PT"/>
        </w:rPr>
      </w:pPr>
    </w:p>
    <w:p w14:paraId="57DDF6C4" w14:textId="37F45A64" w:rsidR="00B911B4" w:rsidRPr="00775A6B" w:rsidRDefault="00127F22" w:rsidP="000D2AB0">
      <w:pPr>
        <w:spacing w:after="0" w:line="240" w:lineRule="auto"/>
        <w:jc w:val="both"/>
        <w:rPr>
          <w:rFonts w:ascii="Tahoma" w:hAnsi="Tahoma" w:cs="Tahoma"/>
          <w:color w:val="000000"/>
          <w:lang w:val="pt-PT"/>
        </w:rPr>
      </w:pPr>
      <w:r w:rsidRPr="00775A6B">
        <w:rPr>
          <w:rFonts w:ascii="Tahoma" w:hAnsi="Tahoma" w:cs="Tahoma"/>
          <w:b/>
          <w:color w:val="000000"/>
          <w:lang w:val="pt-PT"/>
        </w:rPr>
        <w:t xml:space="preserve">Em contrapartida, </w:t>
      </w:r>
      <w:r w:rsidR="003E0A24" w:rsidRPr="00775A6B">
        <w:rPr>
          <w:rFonts w:ascii="Tahoma" w:hAnsi="Tahoma" w:cs="Tahoma"/>
          <w:b/>
          <w:color w:val="000000"/>
          <w:lang w:val="pt-PT"/>
        </w:rPr>
        <w:t>regra geral,</w:t>
      </w:r>
      <w:r w:rsidR="00816AE0" w:rsidRPr="00775A6B">
        <w:rPr>
          <w:rFonts w:ascii="Tahoma" w:hAnsi="Tahoma" w:cs="Tahoma"/>
          <w:b/>
          <w:color w:val="000000"/>
          <w:u w:val="single"/>
          <w:lang w:val="pt-PT"/>
        </w:rPr>
        <w:t xml:space="preserve"> não se </w:t>
      </w:r>
      <w:r w:rsidRPr="00775A6B">
        <w:rPr>
          <w:rFonts w:ascii="Tahoma" w:hAnsi="Tahoma" w:cs="Tahoma"/>
          <w:b/>
          <w:color w:val="000000"/>
          <w:u w:val="single"/>
          <w:lang w:val="pt-PT"/>
        </w:rPr>
        <w:t xml:space="preserve">aplicaria </w:t>
      </w:r>
      <w:r w:rsidR="00816AE0" w:rsidRPr="00775A6B">
        <w:rPr>
          <w:rFonts w:ascii="Tahoma" w:hAnsi="Tahoma" w:cs="Tahoma"/>
          <w:b/>
          <w:color w:val="000000"/>
          <w:u w:val="single"/>
          <w:lang w:val="pt-PT"/>
        </w:rPr>
        <w:t>o artigo 20.º-A</w:t>
      </w:r>
      <w:r w:rsidR="003E0A24" w:rsidRPr="00775A6B">
        <w:rPr>
          <w:rFonts w:ascii="Tahoma" w:hAnsi="Tahoma" w:cs="Tahoma"/>
          <w:b/>
          <w:color w:val="000000"/>
          <w:lang w:val="pt-PT"/>
        </w:rPr>
        <w:t xml:space="preserve"> e </w:t>
      </w:r>
      <w:r w:rsidR="00816AE0" w:rsidRPr="00775A6B">
        <w:rPr>
          <w:rFonts w:ascii="Tahoma" w:hAnsi="Tahoma" w:cs="Tahoma"/>
          <w:b/>
          <w:color w:val="000000"/>
          <w:lang w:val="pt-PT"/>
        </w:rPr>
        <w:t>não haveria auxílio estatal</w:t>
      </w:r>
      <w:r w:rsidR="00C96441" w:rsidRPr="00775A6B">
        <w:rPr>
          <w:rFonts w:ascii="Tahoma" w:hAnsi="Tahoma" w:cs="Tahoma"/>
          <w:color w:val="000000"/>
          <w:lang w:val="pt-PT"/>
        </w:rPr>
        <w:t>, por exemplo, nas seguintes situações em que uma empresa</w:t>
      </w:r>
      <w:r w:rsidR="00816AE0" w:rsidRPr="00775A6B">
        <w:rPr>
          <w:rFonts w:ascii="Tahoma" w:hAnsi="Tahoma" w:cs="Tahoma"/>
          <w:color w:val="000000"/>
          <w:lang w:val="pt-PT"/>
        </w:rPr>
        <w:t>:</w:t>
      </w:r>
    </w:p>
    <w:p w14:paraId="343C8DDD" w14:textId="77777777" w:rsidR="000D2AB0" w:rsidRPr="00775A6B" w:rsidRDefault="000D2AB0" w:rsidP="000D2AB0">
      <w:pPr>
        <w:spacing w:after="0" w:line="240" w:lineRule="auto"/>
        <w:jc w:val="both"/>
        <w:rPr>
          <w:rFonts w:ascii="Tahoma" w:hAnsi="Tahoma" w:cs="Tahoma"/>
          <w:color w:val="000000"/>
          <w:lang w:val="pt-PT"/>
        </w:rPr>
      </w:pPr>
    </w:p>
    <w:p w14:paraId="62CFA4F2" w14:textId="4AECFD74" w:rsidR="00B911B4" w:rsidRPr="00775A6B" w:rsidRDefault="00352E80" w:rsidP="00C96441">
      <w:pPr>
        <w:rPr>
          <w:lang w:val="pt-PT"/>
        </w:rPr>
      </w:pPr>
      <w:r w:rsidRPr="00352E80">
        <w:rPr>
          <w:noProof/>
          <w:lang w:eastAsia="es-ES"/>
        </w:rPr>
        <w:lastRenderedPageBreak/>
        <w:drawing>
          <wp:inline distT="0" distB="0" distL="0" distR="0" wp14:anchorId="00C42270" wp14:editId="66B1F212">
            <wp:extent cx="5685804" cy="3228975"/>
            <wp:effectExtent l="0" t="0" r="0" b="0"/>
            <wp:docPr id="2114232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423289" name=""/>
                    <pic:cNvPicPr/>
                  </pic:nvPicPr>
                  <pic:blipFill>
                    <a:blip r:embed="rId9"/>
                    <a:stretch>
                      <a:fillRect/>
                    </a:stretch>
                  </pic:blipFill>
                  <pic:spPr>
                    <a:xfrm>
                      <a:off x="0" y="0"/>
                      <a:ext cx="5696346" cy="3234962"/>
                    </a:xfrm>
                    <a:prstGeom prst="rect">
                      <a:avLst/>
                    </a:prstGeom>
                  </pic:spPr>
                </pic:pic>
              </a:graphicData>
            </a:graphic>
          </wp:inline>
        </w:drawing>
      </w:r>
    </w:p>
    <w:sectPr w:rsidR="00B911B4" w:rsidRPr="00775A6B">
      <w:headerReference w:type="default" r:id="rId10"/>
      <w:footerReference w:type="default" r:id="rId11"/>
      <w:headerReference w:type="first" r:id="rId12"/>
      <w:footerReference w:type="first" r:id="rId13"/>
      <w:pgSz w:w="11906" w:h="16838"/>
      <w:pgMar w:top="1417" w:right="1701" w:bottom="1417" w:left="1701" w:header="708" w:footer="708" w:gutter="0"/>
      <w:cols w:space="720"/>
      <w:formProt w:val="0"/>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AD3AC7" w14:textId="77777777" w:rsidR="009B074D" w:rsidRDefault="009B074D">
      <w:pPr>
        <w:spacing w:after="0" w:line="240" w:lineRule="auto"/>
      </w:pPr>
      <w:r>
        <w:separator/>
      </w:r>
    </w:p>
  </w:endnote>
  <w:endnote w:type="continuationSeparator" w:id="0">
    <w:p w14:paraId="60CC1AA1" w14:textId="77777777" w:rsidR="009B074D" w:rsidRDefault="009B0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Segoe UI">
    <w:panose1 w:val="020B0502040204020203"/>
    <w:charset w:val="00"/>
    <w:family w:val="swiss"/>
    <w:pitch w:val="variable"/>
    <w:sig w:usb0="E4002EFF" w:usb1="C000E47F" w:usb2="00000009" w:usb3="00000000" w:csb0="000001FF" w:csb1="00000000"/>
  </w:font>
  <w:font w:name="OpenSymbol">
    <w:altName w:val="Times New Roman"/>
    <w:charset w:val="00"/>
    <w:family w:val="auto"/>
    <w:pitch w:val="variable"/>
    <w:sig w:usb0="00000001" w:usb1="1001ECEA" w:usb2="00000000" w:usb3="00000000" w:csb0="80000001" w:csb1="00000000"/>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9264126"/>
      <w:docPartObj>
        <w:docPartGallery w:val="Page Numbers (Bottom of Page)"/>
        <w:docPartUnique/>
      </w:docPartObj>
    </w:sdtPr>
    <w:sdtEndPr/>
    <w:sdtContent>
      <w:p w14:paraId="4E898D31" w14:textId="77777777" w:rsidR="00B911B4" w:rsidRDefault="00816AE0">
        <w:pPr>
          <w:pStyle w:val="Piedepgina"/>
          <w:jc w:val="center"/>
        </w:pPr>
        <w:r>
          <w:fldChar w:fldCharType="begin"/>
        </w:r>
        <w:r>
          <w:instrText xml:space="preserve"> PAGE </w:instrText>
        </w:r>
        <w:r>
          <w:fldChar w:fldCharType="separate"/>
        </w:r>
        <w:r w:rsidR="00331F89">
          <w:rPr>
            <w:noProof/>
          </w:rPr>
          <w:t>5</w:t>
        </w:r>
        <w:r>
          <w:fldChar w:fldCharType="end"/>
        </w:r>
      </w:p>
    </w:sdtContent>
  </w:sdt>
  <w:p w14:paraId="0DFA6C5E" w14:textId="26E08070" w:rsidR="00B911B4" w:rsidRDefault="00441B1C">
    <w:pPr>
      <w:pStyle w:val="Piedepgina"/>
    </w:pPr>
    <w:r>
      <w:rPr>
        <w:highlight w:val="green"/>
      </w:rPr>
      <w:t xml:space="preserve">Versão Julho </w:t>
    </w:r>
    <w:r w:rsidR="00816AE0">
      <w:rPr>
        <w:highlight w:val="green"/>
      </w:rPr>
      <w:t>2026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7533543"/>
      <w:docPartObj>
        <w:docPartGallery w:val="Page Numbers (Bottom of Page)"/>
        <w:docPartUnique/>
      </w:docPartObj>
    </w:sdtPr>
    <w:sdtEndPr/>
    <w:sdtContent>
      <w:p w14:paraId="1ACC1218" w14:textId="77777777" w:rsidR="00B911B4" w:rsidRDefault="00816AE0">
        <w:pPr>
          <w:pStyle w:val="Piedepgina"/>
          <w:jc w:val="center"/>
        </w:pPr>
        <w:r>
          <w:fldChar w:fldCharType="begin"/>
        </w:r>
        <w:r>
          <w:instrText xml:space="preserve"> PAGE </w:instrText>
        </w:r>
        <w:r>
          <w:fldChar w:fldCharType="separate"/>
        </w:r>
        <w:r>
          <w:t>5</w:t>
        </w:r>
        <w:r>
          <w:fldChar w:fldCharType="end"/>
        </w:r>
      </w:p>
    </w:sdtContent>
  </w:sdt>
  <w:p w14:paraId="21DEDAEB" w14:textId="77777777" w:rsidR="00B911B4" w:rsidRDefault="00816AE0">
    <w:pPr>
      <w:pStyle w:val="Piedepgina"/>
    </w:pPr>
    <w:r>
      <w:rPr>
        <w:highlight w:val="green"/>
      </w:rPr>
      <w:t>Versão 6, junho de 2026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2549FD" w14:textId="77777777" w:rsidR="009B074D" w:rsidRDefault="009B074D">
      <w:pPr>
        <w:spacing w:after="0" w:line="240" w:lineRule="auto"/>
      </w:pPr>
      <w:r>
        <w:separator/>
      </w:r>
    </w:p>
  </w:footnote>
  <w:footnote w:type="continuationSeparator" w:id="0">
    <w:p w14:paraId="4E058771" w14:textId="77777777" w:rsidR="009B074D" w:rsidRDefault="009B074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Ind w:w="108" w:type="dxa"/>
      <w:tblLayout w:type="fixed"/>
      <w:tblLook w:val="04A0" w:firstRow="1" w:lastRow="0" w:firstColumn="1" w:lastColumn="0" w:noHBand="0" w:noVBand="1"/>
    </w:tblPr>
    <w:tblGrid>
      <w:gridCol w:w="3870"/>
      <w:gridCol w:w="4634"/>
    </w:tblGrid>
    <w:tr w:rsidR="00B911B4" w14:paraId="57010C85" w14:textId="77777777">
      <w:tc>
        <w:tcPr>
          <w:tcW w:w="3870" w:type="dxa"/>
          <w:tcBorders>
            <w:top w:val="nil"/>
            <w:left w:val="nil"/>
            <w:bottom w:val="nil"/>
            <w:right w:val="nil"/>
          </w:tcBorders>
          <w:vAlign w:val="center"/>
        </w:tcPr>
        <w:p w14:paraId="37675950" w14:textId="77777777" w:rsidR="00B911B4" w:rsidRDefault="00816AE0">
          <w:pPr>
            <w:tabs>
              <w:tab w:val="left" w:pos="2977"/>
            </w:tabs>
            <w:spacing w:after="0" w:line="240" w:lineRule="auto"/>
            <w:rPr>
              <w:rFonts w:ascii="Times New Roman" w:eastAsia="Times New Roman" w:hAnsi="Times New Roman" w:cs="Times New Roman"/>
            </w:rPr>
          </w:pPr>
          <w:r>
            <w:rPr>
              <w:noProof/>
              <w:lang w:eastAsia="es-ES"/>
            </w:rPr>
            <w:drawing>
              <wp:inline distT="0" distB="0" distL="0" distR="0" wp14:anchorId="49DC375A" wp14:editId="20444BC4">
                <wp:extent cx="2333625" cy="502285"/>
                <wp:effectExtent l="0" t="0" r="0" b="0"/>
                <wp:docPr id="1" name="Imagen 266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2668" descr="Imagen que contiene Texto&#10;&#10;Descripción generada automáticamente"/>
                        <pic:cNvPicPr>
                          <a:picLocks noChangeAspect="1" noChangeArrowheads="1"/>
                        </pic:cNvPicPr>
                      </pic:nvPicPr>
                      <pic:blipFill>
                        <a:blip r:embed="rId1"/>
                        <a:stretch>
                          <a:fillRect/>
                        </a:stretch>
                      </pic:blipFill>
                      <pic:spPr bwMode="auto">
                        <a:xfrm>
                          <a:off x="0" y="0"/>
                          <a:ext cx="2333625" cy="502285"/>
                        </a:xfrm>
                        <a:prstGeom prst="rect">
                          <a:avLst/>
                        </a:prstGeom>
                        <a:noFill/>
                      </pic:spPr>
                    </pic:pic>
                  </a:graphicData>
                </a:graphic>
              </wp:inline>
            </w:drawing>
          </w:r>
        </w:p>
      </w:tc>
      <w:tc>
        <w:tcPr>
          <w:tcW w:w="4634" w:type="dxa"/>
          <w:tcBorders>
            <w:top w:val="nil"/>
            <w:left w:val="nil"/>
            <w:bottom w:val="nil"/>
            <w:right w:val="nil"/>
          </w:tcBorders>
        </w:tcPr>
        <w:p w14:paraId="12DA2D1A" w14:textId="77777777" w:rsidR="00B911B4" w:rsidRDefault="00816AE0">
          <w:pPr>
            <w:tabs>
              <w:tab w:val="left" w:pos="192"/>
              <w:tab w:val="left" w:pos="2977"/>
              <w:tab w:val="right" w:pos="4296"/>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noProof/>
              <w:lang w:eastAsia="es-ES"/>
            </w:rPr>
            <w:drawing>
              <wp:inline distT="0" distB="0" distL="0" distR="0" wp14:anchorId="771B7065" wp14:editId="72B3DCDB">
                <wp:extent cx="1956435" cy="591185"/>
                <wp:effectExtent l="0" t="0" r="0" b="0"/>
                <wp:docPr id="2" name="Imagen 2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669"/>
                        <pic:cNvPicPr>
                          <a:picLocks noChangeAspect="1" noChangeArrowheads="1"/>
                        </pic:cNvPicPr>
                      </pic:nvPicPr>
                      <pic:blipFill>
                        <a:blip r:embed="rId2"/>
                        <a:stretch>
                          <a:fillRect/>
                        </a:stretch>
                      </pic:blipFill>
                      <pic:spPr bwMode="auto">
                        <a:xfrm>
                          <a:off x="0" y="0"/>
                          <a:ext cx="1956435" cy="591185"/>
                        </a:xfrm>
                        <a:prstGeom prst="rect">
                          <a:avLst/>
                        </a:prstGeom>
                        <a:noFill/>
                      </pic:spPr>
                    </pic:pic>
                  </a:graphicData>
                </a:graphic>
              </wp:inline>
            </w:drawing>
          </w:r>
        </w:p>
      </w:tc>
    </w:tr>
  </w:tbl>
  <w:p w14:paraId="5E4A2E7E" w14:textId="77777777" w:rsidR="00B911B4" w:rsidRDefault="00B911B4">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Ind w:w="108" w:type="dxa"/>
      <w:tblLayout w:type="fixed"/>
      <w:tblLook w:val="04A0" w:firstRow="1" w:lastRow="0" w:firstColumn="1" w:lastColumn="0" w:noHBand="0" w:noVBand="1"/>
    </w:tblPr>
    <w:tblGrid>
      <w:gridCol w:w="3870"/>
      <w:gridCol w:w="4634"/>
    </w:tblGrid>
    <w:tr w:rsidR="00B911B4" w14:paraId="69A0B413" w14:textId="77777777">
      <w:tc>
        <w:tcPr>
          <w:tcW w:w="3870" w:type="dxa"/>
          <w:tcBorders>
            <w:top w:val="nil"/>
            <w:left w:val="nil"/>
            <w:bottom w:val="nil"/>
            <w:right w:val="nil"/>
          </w:tcBorders>
          <w:vAlign w:val="center"/>
        </w:tcPr>
        <w:p w14:paraId="5CDCDF20" w14:textId="77777777" w:rsidR="00B911B4" w:rsidRDefault="00816AE0">
          <w:pPr>
            <w:tabs>
              <w:tab w:val="left" w:pos="2977"/>
            </w:tabs>
            <w:spacing w:after="0" w:line="240" w:lineRule="auto"/>
            <w:rPr>
              <w:rFonts w:ascii="Times New Roman" w:eastAsia="Times New Roman" w:hAnsi="Times New Roman" w:cs="Times New Roman"/>
            </w:rPr>
          </w:pPr>
          <w:r>
            <w:rPr>
              <w:noProof/>
              <w:lang w:eastAsia="es-ES"/>
            </w:rPr>
            <w:drawing>
              <wp:inline distT="0" distB="0" distL="0" distR="0" wp14:anchorId="792CBBA9" wp14:editId="44283735">
                <wp:extent cx="2333625" cy="502285"/>
                <wp:effectExtent l="0" t="0" r="0" b="0"/>
                <wp:docPr id="3" name="Imagen 266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668" descr="Imagen que contiene Texto&#10;&#10;Descripción generada automáticamente"/>
                        <pic:cNvPicPr>
                          <a:picLocks noChangeAspect="1" noChangeArrowheads="1"/>
                        </pic:cNvPicPr>
                      </pic:nvPicPr>
                      <pic:blipFill>
                        <a:blip r:embed="rId1"/>
                        <a:stretch>
                          <a:fillRect/>
                        </a:stretch>
                      </pic:blipFill>
                      <pic:spPr bwMode="auto">
                        <a:xfrm>
                          <a:off x="0" y="0"/>
                          <a:ext cx="2333625" cy="502285"/>
                        </a:xfrm>
                        <a:prstGeom prst="rect">
                          <a:avLst/>
                        </a:prstGeom>
                        <a:noFill/>
                      </pic:spPr>
                    </pic:pic>
                  </a:graphicData>
                </a:graphic>
              </wp:inline>
            </w:drawing>
          </w:r>
        </w:p>
      </w:tc>
      <w:tc>
        <w:tcPr>
          <w:tcW w:w="4634" w:type="dxa"/>
          <w:tcBorders>
            <w:top w:val="nil"/>
            <w:left w:val="nil"/>
            <w:bottom w:val="nil"/>
            <w:right w:val="nil"/>
          </w:tcBorders>
        </w:tcPr>
        <w:p w14:paraId="2068A578" w14:textId="77777777" w:rsidR="00B911B4" w:rsidRDefault="00816AE0">
          <w:pPr>
            <w:tabs>
              <w:tab w:val="left" w:pos="192"/>
              <w:tab w:val="left" w:pos="2977"/>
              <w:tab w:val="right" w:pos="4296"/>
            </w:tabs>
            <w:spacing w:after="0" w:line="240" w:lineRule="auto"/>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Pr>
              <w:noProof/>
              <w:lang w:eastAsia="es-ES"/>
            </w:rPr>
            <w:drawing>
              <wp:inline distT="0" distB="0" distL="0" distR="0" wp14:anchorId="55DACCFC" wp14:editId="45F6CC7E">
                <wp:extent cx="1956435" cy="591185"/>
                <wp:effectExtent l="0" t="0" r="0" b="0"/>
                <wp:docPr id="4" name="Imagen 2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2669"/>
                        <pic:cNvPicPr>
                          <a:picLocks noChangeAspect="1" noChangeArrowheads="1"/>
                        </pic:cNvPicPr>
                      </pic:nvPicPr>
                      <pic:blipFill>
                        <a:blip r:embed="rId2"/>
                        <a:stretch>
                          <a:fillRect/>
                        </a:stretch>
                      </pic:blipFill>
                      <pic:spPr bwMode="auto">
                        <a:xfrm>
                          <a:off x="0" y="0"/>
                          <a:ext cx="1956435" cy="591185"/>
                        </a:xfrm>
                        <a:prstGeom prst="rect">
                          <a:avLst/>
                        </a:prstGeom>
                        <a:noFill/>
                      </pic:spPr>
                    </pic:pic>
                  </a:graphicData>
                </a:graphic>
              </wp:inline>
            </w:drawing>
          </w:r>
        </w:p>
      </w:tc>
    </w:tr>
  </w:tbl>
  <w:p w14:paraId="552921AE" w14:textId="77777777" w:rsidR="00B911B4" w:rsidRDefault="00B911B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8B1946"/>
    <w:multiLevelType w:val="multilevel"/>
    <w:tmpl w:val="9A6A59F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EF93918"/>
    <w:multiLevelType w:val="multilevel"/>
    <w:tmpl w:val="0100DEB2"/>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2" w15:restartNumberingAfterBreak="0">
    <w:nsid w:val="49FA50E6"/>
    <w:multiLevelType w:val="multilevel"/>
    <w:tmpl w:val="8C564052"/>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4E427371"/>
    <w:multiLevelType w:val="hybridMultilevel"/>
    <w:tmpl w:val="28D6FE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6065D9C"/>
    <w:multiLevelType w:val="multilevel"/>
    <w:tmpl w:val="0C965012"/>
    <w:lvl w:ilvl="0">
      <w:start w:val="1"/>
      <w:numFmt w:val="decimal"/>
      <w:lvlText w:val="%1."/>
      <w:lvlJc w:val="left"/>
      <w:pPr>
        <w:tabs>
          <w:tab w:val="num" w:pos="709"/>
        </w:tabs>
        <w:ind w:left="709" w:hanging="283"/>
      </w:pPr>
      <w:rPr>
        <w:rFonts w:ascii="Tahoma" w:hAnsi="Tahoma" w:cs="Tahoma"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5" w15:restartNumberingAfterBreak="0">
    <w:nsid w:val="57E82B96"/>
    <w:multiLevelType w:val="hybridMultilevel"/>
    <w:tmpl w:val="A3322C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D4F5B32"/>
    <w:multiLevelType w:val="multilevel"/>
    <w:tmpl w:val="8C564052"/>
    <w:lvl w:ilvl="0">
      <w:start w:val="1"/>
      <w:numFmt w:val="decimal"/>
      <w:lvlText w:val="%1."/>
      <w:lvlJc w:val="left"/>
      <w:pPr>
        <w:tabs>
          <w:tab w:val="num" w:pos="-360"/>
        </w:tabs>
        <w:ind w:left="360" w:hanging="360"/>
      </w:pPr>
      <w:rPr>
        <w:b/>
      </w:r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7" w15:restartNumberingAfterBreak="0">
    <w:nsid w:val="6F2D6DDD"/>
    <w:multiLevelType w:val="multilevel"/>
    <w:tmpl w:val="2F704E1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7858242D"/>
    <w:multiLevelType w:val="hybridMultilevel"/>
    <w:tmpl w:val="21A4F9E2"/>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num w:numId="1">
    <w:abstractNumId w:val="2"/>
  </w:num>
  <w:num w:numId="2">
    <w:abstractNumId w:val="0"/>
  </w:num>
  <w:num w:numId="3">
    <w:abstractNumId w:val="4"/>
  </w:num>
  <w:num w:numId="4">
    <w:abstractNumId w:val="1"/>
  </w:num>
  <w:num w:numId="5">
    <w:abstractNumId w:val="7"/>
  </w:num>
  <w:num w:numId="6">
    <w:abstractNumId w:val="8"/>
  </w:num>
  <w:num w:numId="7">
    <w:abstractNumId w:val="5"/>
  </w:num>
  <w:num w:numId="8">
    <w:abstractNumId w:val="6"/>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1B4"/>
    <w:rsid w:val="00046B5B"/>
    <w:rsid w:val="000A7AC6"/>
    <w:rsid w:val="000D2AB0"/>
    <w:rsid w:val="0010127C"/>
    <w:rsid w:val="00127F22"/>
    <w:rsid w:val="001939F3"/>
    <w:rsid w:val="001C6FF8"/>
    <w:rsid w:val="0025038E"/>
    <w:rsid w:val="002937AC"/>
    <w:rsid w:val="002C2124"/>
    <w:rsid w:val="002F3B19"/>
    <w:rsid w:val="00331F89"/>
    <w:rsid w:val="00352E80"/>
    <w:rsid w:val="00380700"/>
    <w:rsid w:val="00387CDA"/>
    <w:rsid w:val="003A3B5F"/>
    <w:rsid w:val="003D024E"/>
    <w:rsid w:val="003E0A24"/>
    <w:rsid w:val="00427DA6"/>
    <w:rsid w:val="00441B1C"/>
    <w:rsid w:val="00554A44"/>
    <w:rsid w:val="00620F3E"/>
    <w:rsid w:val="00622E60"/>
    <w:rsid w:val="006D00F2"/>
    <w:rsid w:val="00761250"/>
    <w:rsid w:val="00775A6B"/>
    <w:rsid w:val="00787FB9"/>
    <w:rsid w:val="00792267"/>
    <w:rsid w:val="007C6433"/>
    <w:rsid w:val="00816AE0"/>
    <w:rsid w:val="008423B2"/>
    <w:rsid w:val="00847CF2"/>
    <w:rsid w:val="00856E13"/>
    <w:rsid w:val="0096307D"/>
    <w:rsid w:val="009B074D"/>
    <w:rsid w:val="009C4BA6"/>
    <w:rsid w:val="00A01170"/>
    <w:rsid w:val="00B02B32"/>
    <w:rsid w:val="00B911B4"/>
    <w:rsid w:val="00BB4B8D"/>
    <w:rsid w:val="00C37E64"/>
    <w:rsid w:val="00C609B4"/>
    <w:rsid w:val="00C96441"/>
    <w:rsid w:val="00CD6B01"/>
    <w:rsid w:val="00D26C22"/>
    <w:rsid w:val="00D83E90"/>
    <w:rsid w:val="00EF047F"/>
    <w:rsid w:val="00EF0DE0"/>
    <w:rsid w:val="00EF1B90"/>
    <w:rsid w:val="00EF3B29"/>
    <w:rsid w:val="00F126A1"/>
    <w:rsid w:val="00FE0482"/>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6AACBA"/>
  <w15:docId w15:val="{560EA742-175D-462F-9819-B4850314E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style>
  <w:style w:type="paragraph" w:styleId="Ttulo3">
    <w:name w:val="heading 3"/>
    <w:basedOn w:val="Ttulouser"/>
    <w:next w:val="Textoindependiente"/>
    <w:qFormat/>
    <w:pPr>
      <w:spacing w:before="140"/>
      <w:outlineLvl w:val="2"/>
    </w:pPr>
    <w:rPr>
      <w:rFonts w:ascii="Liberation Serif" w:eastAsia="Segoe UI" w:hAnsi="Liberation Serif" w:cs="Tahoma"/>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461057"/>
  </w:style>
  <w:style w:type="character" w:customStyle="1" w:styleId="PiedepginaCar">
    <w:name w:val="Pie de página Car"/>
    <w:basedOn w:val="Fuentedeprrafopredeter"/>
    <w:link w:val="Piedepgina"/>
    <w:uiPriority w:val="99"/>
    <w:qFormat/>
    <w:rsid w:val="00461057"/>
  </w:style>
  <w:style w:type="character" w:styleId="Hipervnculo">
    <w:name w:val="Hyperlink"/>
    <w:basedOn w:val="Fuentedeprrafopredeter"/>
    <w:uiPriority w:val="99"/>
    <w:unhideWhenUsed/>
    <w:rsid w:val="00871ED7"/>
    <w:rPr>
      <w:color w:val="0563C1" w:themeColor="hyperlink"/>
      <w:u w:val="single"/>
    </w:rPr>
  </w:style>
  <w:style w:type="character" w:styleId="Hipervnculovisitado">
    <w:name w:val="FollowedHyperlink"/>
    <w:basedOn w:val="Fuentedeprrafopredeter"/>
    <w:uiPriority w:val="99"/>
    <w:semiHidden/>
    <w:unhideWhenUsed/>
    <w:rsid w:val="00871ED7"/>
    <w:rPr>
      <w:color w:val="954F72" w:themeColor="followedHyperlink"/>
      <w:u w:val="single"/>
    </w:rPr>
  </w:style>
  <w:style w:type="character" w:customStyle="1" w:styleId="Bolosuser">
    <w:name w:val="Bolos (user)"/>
    <w:qFormat/>
    <w:rPr>
      <w:rFonts w:ascii="OpenSymbol" w:eastAsia="OpenSymbol" w:hAnsi="OpenSymbol" w:cs="OpenSymbol"/>
    </w:rPr>
  </w:style>
  <w:style w:type="character" w:styleId="Textoennegrita">
    <w:name w:val="Strong"/>
    <w:uiPriority w:val="22"/>
    <w:qFormat/>
    <w:rPr>
      <w:b/>
      <w:bCs/>
    </w:rPr>
  </w:style>
  <w:style w:type="character" w:styleId="Refdecomentario">
    <w:name w:val="annotation reference"/>
    <w:basedOn w:val="Fuentedeprrafopredeter"/>
    <w:uiPriority w:val="99"/>
    <w:semiHidden/>
    <w:unhideWhenUsed/>
    <w:qFormat/>
    <w:rsid w:val="00972DAD"/>
    <w:rPr>
      <w:sz w:val="16"/>
      <w:szCs w:val="16"/>
    </w:rPr>
  </w:style>
  <w:style w:type="character" w:customStyle="1" w:styleId="TextocomentarioCar">
    <w:name w:val="Texto comentario Car"/>
    <w:basedOn w:val="Fuentedeprrafopredeter"/>
    <w:link w:val="Textocomentario"/>
    <w:uiPriority w:val="99"/>
    <w:qFormat/>
    <w:rsid w:val="00972DAD"/>
    <w:rPr>
      <w:sz w:val="20"/>
      <w:szCs w:val="20"/>
    </w:rPr>
  </w:style>
  <w:style w:type="character" w:customStyle="1" w:styleId="AsuntodelcomentarioCar">
    <w:name w:val="Asunto del comentario Car"/>
    <w:basedOn w:val="TextocomentarioCar"/>
    <w:link w:val="Asuntodelcomentario"/>
    <w:uiPriority w:val="99"/>
    <w:semiHidden/>
    <w:qFormat/>
    <w:rsid w:val="00972DAD"/>
    <w:rPr>
      <w:b/>
      <w:bCs/>
      <w:sz w:val="20"/>
      <w:szCs w:val="20"/>
    </w:rPr>
  </w:style>
  <w:style w:type="character" w:customStyle="1" w:styleId="TextodegloboCar">
    <w:name w:val="Texto de globo Car"/>
    <w:basedOn w:val="Fuentedeprrafopredeter"/>
    <w:link w:val="Textodeglobo"/>
    <w:uiPriority w:val="99"/>
    <w:semiHidden/>
    <w:qFormat/>
    <w:rsid w:val="00972DAD"/>
    <w:rPr>
      <w:rFonts w:ascii="Segoe UI" w:hAnsi="Segoe UI" w:cs="Segoe UI"/>
      <w:sz w:val="18"/>
      <w:szCs w:val="18"/>
    </w:rPr>
  </w:style>
  <w:style w:type="character" w:styleId="nfasis">
    <w:name w:val="Emphasis"/>
    <w:uiPriority w:val="20"/>
    <w:qFormat/>
    <w:rPr>
      <w:i/>
      <w:iCs/>
    </w:rPr>
  </w:style>
  <w:style w:type="character" w:customStyle="1" w:styleId="Smbolosdenumeracinuser">
    <w:name w:val="Símbolos de numeración (user)"/>
    <w:qFormat/>
  </w:style>
  <w:style w:type="paragraph" w:styleId="Puesto">
    <w:name w:val="Title"/>
    <w:basedOn w:val="Normal"/>
    <w:next w:val="Textoindependiente"/>
    <w:qFormat/>
    <w:pPr>
      <w:keepNext/>
      <w:spacing w:before="240" w:after="120"/>
    </w:pPr>
    <w:rPr>
      <w:rFonts w:ascii="Liberation Sans" w:eastAsia="Microsoft YaHei" w:hAnsi="Liberation Sans" w:cs="Lucida Sans"/>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Ttulouser">
    <w:name w:val="Título (user)"/>
    <w:basedOn w:val="Normal"/>
    <w:next w:val="Textoindependiente"/>
    <w:qFormat/>
    <w:pPr>
      <w:keepNext/>
      <w:spacing w:before="240" w:after="120"/>
    </w:pPr>
    <w:rPr>
      <w:rFonts w:ascii="Liberation Sans" w:eastAsia="Microsoft YaHei" w:hAnsi="Liberation Sans" w:cs="Lucida Sans"/>
      <w:sz w:val="28"/>
      <w:szCs w:val="28"/>
    </w:rPr>
  </w:style>
  <w:style w:type="paragraph" w:customStyle="1" w:styleId="ndiceuser">
    <w:name w:val="Índice (user)"/>
    <w:basedOn w:val="Normal"/>
    <w:qFormat/>
    <w:pPr>
      <w:suppressLineNumbers/>
    </w:pPr>
    <w:rPr>
      <w:rFonts w:cs="Lucida Sans"/>
    </w:rPr>
  </w:style>
  <w:style w:type="paragraph" w:customStyle="1" w:styleId="Default">
    <w:name w:val="Default"/>
    <w:qFormat/>
    <w:rsid w:val="00461057"/>
    <w:rPr>
      <w:rFonts w:ascii="Tahoma" w:eastAsia="Calibri" w:hAnsi="Tahoma" w:cs="Tahoma"/>
      <w:color w:val="000000"/>
      <w:sz w:val="24"/>
      <w:szCs w:val="24"/>
    </w:rPr>
  </w:style>
  <w:style w:type="paragraph" w:customStyle="1" w:styleId="Cabeceraypie">
    <w:name w:val="Cabecera y pie"/>
    <w:basedOn w:val="Normal"/>
    <w:qFormat/>
  </w:style>
  <w:style w:type="paragraph" w:customStyle="1" w:styleId="Cabeceraypieuser">
    <w:name w:val="Cabecera y pie (user)"/>
    <w:basedOn w:val="Normal"/>
    <w:qFormat/>
  </w:style>
  <w:style w:type="paragraph" w:styleId="Encabezado">
    <w:name w:val="header"/>
    <w:basedOn w:val="Normal"/>
    <w:link w:val="EncabezadoCar"/>
    <w:uiPriority w:val="99"/>
    <w:unhideWhenUsed/>
    <w:rsid w:val="00461057"/>
    <w:pPr>
      <w:tabs>
        <w:tab w:val="center" w:pos="4252"/>
        <w:tab w:val="right" w:pos="8504"/>
      </w:tabs>
      <w:spacing w:after="0" w:line="240" w:lineRule="auto"/>
    </w:pPr>
  </w:style>
  <w:style w:type="paragraph" w:styleId="Piedepgina">
    <w:name w:val="footer"/>
    <w:basedOn w:val="Normal"/>
    <w:link w:val="PiedepginaCar"/>
    <w:uiPriority w:val="99"/>
    <w:unhideWhenUsed/>
    <w:rsid w:val="00461057"/>
    <w:pPr>
      <w:tabs>
        <w:tab w:val="center" w:pos="4252"/>
        <w:tab w:val="right" w:pos="8504"/>
      </w:tabs>
      <w:spacing w:after="0" w:line="240" w:lineRule="auto"/>
    </w:pPr>
  </w:style>
  <w:style w:type="paragraph" w:styleId="Prrafodelista">
    <w:name w:val="List Paragraph"/>
    <w:basedOn w:val="Normal"/>
    <w:uiPriority w:val="34"/>
    <w:qFormat/>
    <w:rsid w:val="006032D3"/>
    <w:pPr>
      <w:ind w:left="720"/>
      <w:contextualSpacing/>
    </w:pPr>
  </w:style>
  <w:style w:type="paragraph" w:customStyle="1" w:styleId="Textoindependiente22">
    <w:name w:val="Texto independiente 22"/>
    <w:basedOn w:val="Normal"/>
    <w:qFormat/>
    <w:rsid w:val="004E18A5"/>
    <w:pPr>
      <w:spacing w:after="0" w:line="240" w:lineRule="auto"/>
      <w:jc w:val="both"/>
    </w:pPr>
    <w:rPr>
      <w:rFonts w:ascii="Arial Narrow" w:eastAsia="Times New Roman" w:hAnsi="Arial Narrow" w:cs="Arial Narrow"/>
      <w:sz w:val="24"/>
      <w:szCs w:val="20"/>
      <w:lang w:eastAsia="es-ES_tradnl"/>
    </w:rPr>
  </w:style>
  <w:style w:type="paragraph" w:styleId="Textocomentario">
    <w:name w:val="annotation text"/>
    <w:basedOn w:val="Normal"/>
    <w:link w:val="TextocomentarioCar"/>
    <w:uiPriority w:val="99"/>
    <w:unhideWhenUsed/>
    <w:rsid w:val="00972D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972DAD"/>
    <w:rPr>
      <w:b/>
      <w:bCs/>
    </w:rPr>
  </w:style>
  <w:style w:type="paragraph" w:styleId="Textodeglobo">
    <w:name w:val="Balloon Text"/>
    <w:basedOn w:val="Normal"/>
    <w:link w:val="TextodegloboCar"/>
    <w:uiPriority w:val="99"/>
    <w:semiHidden/>
    <w:unhideWhenUsed/>
    <w:qFormat/>
    <w:rsid w:val="00972DAD"/>
    <w:pPr>
      <w:spacing w:after="0" w:line="240" w:lineRule="auto"/>
    </w:pPr>
    <w:rPr>
      <w:rFonts w:ascii="Segoe UI" w:hAnsi="Segoe UI" w:cs="Segoe UI"/>
      <w:sz w:val="18"/>
      <w:szCs w:val="18"/>
    </w:rPr>
  </w:style>
  <w:style w:type="numbering" w:customStyle="1" w:styleId="Ningunalista">
    <w:name w:val="Ninguna lista"/>
    <w:uiPriority w:val="99"/>
    <w:semiHidden/>
    <w:unhideWhenUsed/>
    <w:qFormat/>
  </w:style>
  <w:style w:type="numbering" w:customStyle="1" w:styleId="Ningunalistauser">
    <w:name w:val="Ninguna lista (user)"/>
    <w:uiPriority w:val="99"/>
    <w:semiHidden/>
    <w:unhideWhenUsed/>
    <w:qFormat/>
  </w:style>
  <w:style w:type="table" w:styleId="Tablaconcuadrcula">
    <w:name w:val="Table Grid"/>
    <w:basedOn w:val="Tablanormal"/>
    <w:rsid w:val="00461057"/>
    <w:pPr>
      <w:spacing w:before="180" w:after="180"/>
      <w:jc w:val="both"/>
    </w:pPr>
    <w:rPr>
      <w:sz w:val="20"/>
      <w:szCs w:val="20"/>
      <w:lang w:eastAsia="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775A6B"/>
    <w:pPr>
      <w:suppressAutoHyphens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403509">
      <w:bodyDiv w:val="1"/>
      <w:marLeft w:val="0"/>
      <w:marRight w:val="0"/>
      <w:marTop w:val="0"/>
      <w:marBottom w:val="0"/>
      <w:divBdr>
        <w:top w:val="none" w:sz="0" w:space="0" w:color="auto"/>
        <w:left w:val="none" w:sz="0" w:space="0" w:color="auto"/>
        <w:bottom w:val="none" w:sz="0" w:space="0" w:color="auto"/>
        <w:right w:val="none" w:sz="0" w:space="0" w:color="auto"/>
      </w:divBdr>
      <w:divsChild>
        <w:div w:id="647200650">
          <w:marLeft w:val="0"/>
          <w:marRight w:val="0"/>
          <w:marTop w:val="0"/>
          <w:marBottom w:val="0"/>
          <w:divBdr>
            <w:top w:val="none" w:sz="0" w:space="0" w:color="auto"/>
            <w:left w:val="none" w:sz="0" w:space="0" w:color="auto"/>
            <w:bottom w:val="none" w:sz="0" w:space="0" w:color="auto"/>
            <w:right w:val="none" w:sz="0" w:space="0" w:color="auto"/>
          </w:divBdr>
        </w:div>
        <w:div w:id="1872768205">
          <w:marLeft w:val="0"/>
          <w:marRight w:val="0"/>
          <w:marTop w:val="0"/>
          <w:marBottom w:val="0"/>
          <w:divBdr>
            <w:top w:val="none" w:sz="0" w:space="0" w:color="auto"/>
            <w:left w:val="none" w:sz="0" w:space="0" w:color="auto"/>
            <w:bottom w:val="none" w:sz="0" w:space="0" w:color="auto"/>
            <w:right w:val="none" w:sz="0" w:space="0" w:color="auto"/>
          </w:divBdr>
        </w:div>
        <w:div w:id="1445996625">
          <w:marLeft w:val="0"/>
          <w:marRight w:val="0"/>
          <w:marTop w:val="0"/>
          <w:marBottom w:val="0"/>
          <w:divBdr>
            <w:top w:val="none" w:sz="0" w:space="0" w:color="auto"/>
            <w:left w:val="none" w:sz="0" w:space="0" w:color="auto"/>
            <w:bottom w:val="none" w:sz="0" w:space="0" w:color="auto"/>
            <w:right w:val="none" w:sz="0" w:space="0" w:color="auto"/>
          </w:divBdr>
        </w:div>
        <w:div w:id="1164930659">
          <w:marLeft w:val="0"/>
          <w:marRight w:val="0"/>
          <w:marTop w:val="0"/>
          <w:marBottom w:val="0"/>
          <w:divBdr>
            <w:top w:val="none" w:sz="0" w:space="0" w:color="auto"/>
            <w:left w:val="none" w:sz="0" w:space="0" w:color="auto"/>
            <w:bottom w:val="none" w:sz="0" w:space="0" w:color="auto"/>
            <w:right w:val="none" w:sz="0" w:space="0" w:color="auto"/>
          </w:divBdr>
        </w:div>
        <w:div w:id="1736858445">
          <w:marLeft w:val="0"/>
          <w:marRight w:val="0"/>
          <w:marTop w:val="0"/>
          <w:marBottom w:val="0"/>
          <w:divBdr>
            <w:top w:val="none" w:sz="0" w:space="0" w:color="auto"/>
            <w:left w:val="none" w:sz="0" w:space="0" w:color="auto"/>
            <w:bottom w:val="none" w:sz="0" w:space="0" w:color="auto"/>
            <w:right w:val="none" w:sz="0" w:space="0" w:color="auto"/>
          </w:divBdr>
        </w:div>
        <w:div w:id="923417852">
          <w:marLeft w:val="0"/>
          <w:marRight w:val="0"/>
          <w:marTop w:val="0"/>
          <w:marBottom w:val="0"/>
          <w:divBdr>
            <w:top w:val="none" w:sz="0" w:space="0" w:color="auto"/>
            <w:left w:val="none" w:sz="0" w:space="0" w:color="auto"/>
            <w:bottom w:val="none" w:sz="0" w:space="0" w:color="auto"/>
            <w:right w:val="none" w:sz="0" w:space="0" w:color="auto"/>
          </w:divBdr>
        </w:div>
        <w:div w:id="87635582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867</Words>
  <Characters>4770</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
    </vt:vector>
  </TitlesOfParts>
  <Company>HACIENDA</Company>
  <LinksUpToDate>false</LinksUpToDate>
  <CharactersWithSpaces>5626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Ruiz</dc:creator>
  <cp:keywords>, docId:BC0486D1DA8189367EE23735638761A2</cp:keywords>
  <dc:description/>
  <cp:lastModifiedBy>Secretaría Conjunta</cp:lastModifiedBy>
  <cp:revision>2</cp:revision>
  <dcterms:created xsi:type="dcterms:W3CDTF">2026-07-29T10:25:00Z</dcterms:created>
  <dcterms:modified xsi:type="dcterms:W3CDTF">2026-07-29T10:25:00Z</dcterms:modified>
  <dc:language>es-ES</dc:language>
</cp:coreProperties>
</file>