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91098" w14:textId="77777777" w:rsidR="00B911B4" w:rsidRDefault="00816AE0">
      <w:pPr>
        <w:pStyle w:val="Default"/>
        <w:tabs>
          <w:tab w:val="center" w:pos="4252"/>
          <w:tab w:val="right" w:pos="8504"/>
        </w:tabs>
        <w:rPr>
          <w:b/>
          <w:bCs/>
          <w:color w:val="4E81BC"/>
          <w:sz w:val="36"/>
          <w:szCs w:val="36"/>
        </w:rPr>
      </w:pPr>
      <w:r>
        <w:rPr>
          <w:b/>
          <w:bCs/>
          <w:color w:val="4E81BC"/>
          <w:sz w:val="36"/>
          <w:szCs w:val="36"/>
        </w:rPr>
        <w:tab/>
        <w:t>FICHA TÉCNICA 9</w:t>
      </w:r>
    </w:p>
    <w:p w14:paraId="303E5137" w14:textId="77777777" w:rsidR="00B911B4" w:rsidRDefault="00816AE0">
      <w:pPr>
        <w:pStyle w:val="Default"/>
        <w:jc w:val="center"/>
        <w:rPr>
          <w:color w:val="4E81BC"/>
          <w:sz w:val="36"/>
          <w:szCs w:val="36"/>
        </w:rPr>
      </w:pPr>
      <w:r>
        <w:rPr>
          <w:b/>
          <w:bCs/>
          <w:color w:val="4E81BC"/>
          <w:sz w:val="36"/>
          <w:szCs w:val="36"/>
        </w:rPr>
        <w:t xml:space="preserve"> AYUDAS DE ESTADO</w:t>
      </w:r>
    </w:p>
    <w:p w14:paraId="61BE7515" w14:textId="77777777" w:rsidR="00B911B4" w:rsidRDefault="00B911B4">
      <w:pPr>
        <w:pStyle w:val="Default"/>
        <w:rPr>
          <w:b/>
          <w:bCs/>
          <w:color w:val="4E81BC"/>
          <w:sz w:val="22"/>
          <w:szCs w:val="22"/>
        </w:rPr>
      </w:pPr>
    </w:p>
    <w:p w14:paraId="629E991E" w14:textId="77777777" w:rsidR="00B911B4" w:rsidRDefault="00816AE0">
      <w:pPr>
        <w:tabs>
          <w:tab w:val="left" w:pos="2709"/>
        </w:tabs>
        <w:spacing w:after="0" w:line="240" w:lineRule="auto"/>
        <w:rPr>
          <w:rFonts w:ascii="Tahoma" w:hAnsi="Tahoma" w:cs="Tahoma"/>
          <w:color w:val="000000"/>
          <w:sz w:val="24"/>
          <w:szCs w:val="24"/>
        </w:rPr>
      </w:pPr>
      <w:r>
        <w:rPr>
          <w:rFonts w:ascii="Tahoma" w:hAnsi="Tahoma" w:cs="Tahoma"/>
          <w:color w:val="000000"/>
          <w:sz w:val="24"/>
          <w:szCs w:val="24"/>
        </w:rPr>
        <w:tab/>
        <w:t xml:space="preserve"> </w:t>
      </w:r>
    </w:p>
    <w:p w14:paraId="796502B7" w14:textId="77777777" w:rsidR="00B911B4" w:rsidRPr="00622E60" w:rsidRDefault="00816AE0">
      <w:pPr>
        <w:pStyle w:val="Prrafodelista"/>
        <w:numPr>
          <w:ilvl w:val="0"/>
          <w:numId w:val="1"/>
        </w:numPr>
        <w:spacing w:after="0" w:line="240" w:lineRule="auto"/>
        <w:rPr>
          <w:rFonts w:ascii="Tahoma" w:hAnsi="Tahoma" w:cs="Tahoma"/>
          <w:color w:val="4E81BC"/>
        </w:rPr>
      </w:pPr>
      <w:r w:rsidRPr="00622E60">
        <w:rPr>
          <w:rFonts w:ascii="Tahoma" w:hAnsi="Tahoma" w:cs="Tahoma"/>
          <w:b/>
          <w:bCs/>
          <w:color w:val="4E81BC"/>
        </w:rPr>
        <w:t>INTRODUCCIÓN</w:t>
      </w:r>
    </w:p>
    <w:p w14:paraId="3326191F" w14:textId="77777777" w:rsidR="00B911B4" w:rsidRPr="00622E60" w:rsidRDefault="00B911B4">
      <w:pPr>
        <w:pStyle w:val="Prrafodelista"/>
        <w:spacing w:after="0" w:line="240" w:lineRule="auto"/>
        <w:ind w:left="0"/>
        <w:rPr>
          <w:rFonts w:ascii="Tahoma" w:hAnsi="Tahoma" w:cs="Tahoma"/>
          <w:b/>
          <w:bCs/>
          <w:color w:val="4E81BC"/>
        </w:rPr>
      </w:pPr>
    </w:p>
    <w:p w14:paraId="579E90CE" w14:textId="77777777" w:rsidR="00B911B4" w:rsidRPr="00622E60" w:rsidRDefault="00816AE0">
      <w:pPr>
        <w:spacing w:after="0" w:line="240" w:lineRule="auto"/>
        <w:jc w:val="both"/>
        <w:rPr>
          <w:rFonts w:ascii="Tahoma" w:hAnsi="Tahoma"/>
        </w:rPr>
      </w:pPr>
      <w:r w:rsidRPr="00622E60">
        <w:rPr>
          <w:rFonts w:ascii="Tahoma" w:hAnsi="Tahoma"/>
        </w:rPr>
        <w:t>El apartado 10 de las Normas de Subvencionabilidad hace referencia a la aplicación de la normativa de ayudas de Estado, por lo que los proyectos que reciben apoyo financiero del Programa Interreg MAC deben respetar las reglas relativas a las ayudas de Estado y las entidades beneficiarias FEDER serán los responsables de su cumplimiento en los términos detallados en los puntos siguientes.</w:t>
      </w:r>
    </w:p>
    <w:p w14:paraId="792600CE" w14:textId="77777777" w:rsidR="00B911B4" w:rsidRPr="00622E60" w:rsidRDefault="00B911B4">
      <w:pPr>
        <w:spacing w:after="0" w:line="240" w:lineRule="auto"/>
        <w:jc w:val="both"/>
        <w:rPr>
          <w:rFonts w:ascii="Tahoma" w:hAnsi="Tahoma"/>
        </w:rPr>
      </w:pPr>
    </w:p>
    <w:p w14:paraId="41F9D419" w14:textId="77777777" w:rsidR="00B911B4" w:rsidRPr="00622E60" w:rsidRDefault="00816AE0">
      <w:pPr>
        <w:spacing w:after="0" w:line="240" w:lineRule="auto"/>
        <w:jc w:val="both"/>
        <w:rPr>
          <w:rFonts w:ascii="Tahoma" w:hAnsi="Tahoma"/>
        </w:rPr>
      </w:pPr>
      <w:r w:rsidRPr="00622E60">
        <w:rPr>
          <w:rFonts w:ascii="Tahoma" w:hAnsi="Tahoma"/>
        </w:rPr>
        <w:t xml:space="preserve">Es necesario tener en cuenta que </w:t>
      </w:r>
      <w:r w:rsidRPr="00622E60">
        <w:rPr>
          <w:rFonts w:ascii="Tahoma" w:hAnsi="Tahoma"/>
          <w:b/>
        </w:rPr>
        <w:t>la aplicación del control de ayudas de Estado previsto en esta ficha técnica, se realizará una vez se cumplan las condiciones de elegibilidad de los gastos declarados</w:t>
      </w:r>
      <w:r w:rsidRPr="00622E60">
        <w:rPr>
          <w:rFonts w:ascii="Tahoma" w:hAnsi="Tahoma"/>
        </w:rPr>
        <w:t>; esto es, tras el análisis del cumplimiento de los requisitos de elegibilidad de cada gasto según su categoría, se procederá a aplicar lo previsto en esta ficha si se dan las condiciones para ello. Así, para que un gasto sea considerado elegible además de cumplir estrictamente con el apartado Pista de Auditoria de la Ficha Técnica correspondiente, según la categoría de gasto, deberá presentar la documentación asociada al control de ayudas de Estado</w:t>
      </w:r>
      <w:r w:rsidR="00CD6B01" w:rsidRPr="00622E60">
        <w:rPr>
          <w:rFonts w:ascii="Tahoma" w:hAnsi="Tahoma"/>
        </w:rPr>
        <w:t>, cuando proceda</w:t>
      </w:r>
      <w:r w:rsidRPr="00622E60">
        <w:rPr>
          <w:rFonts w:ascii="Tahoma" w:hAnsi="Tahoma"/>
        </w:rPr>
        <w:t xml:space="preserve">.    </w:t>
      </w:r>
    </w:p>
    <w:p w14:paraId="284AA743" w14:textId="77777777" w:rsidR="00B911B4" w:rsidRPr="00622E60" w:rsidRDefault="00B911B4">
      <w:pPr>
        <w:spacing w:after="0" w:line="240" w:lineRule="auto"/>
        <w:jc w:val="both"/>
        <w:rPr>
          <w:rFonts w:ascii="Tahoma" w:hAnsi="Tahoma"/>
        </w:rPr>
      </w:pPr>
    </w:p>
    <w:p w14:paraId="52FF898F" w14:textId="77777777" w:rsidR="00B911B4" w:rsidRDefault="00816AE0">
      <w:pPr>
        <w:spacing w:after="0" w:line="240" w:lineRule="auto"/>
        <w:jc w:val="both"/>
        <w:rPr>
          <w:rFonts w:ascii="Tahoma" w:hAnsi="Tahoma"/>
        </w:rPr>
      </w:pPr>
      <w:r w:rsidRPr="00622E60">
        <w:rPr>
          <w:rFonts w:ascii="Tahoma" w:hAnsi="Tahoma"/>
        </w:rPr>
        <w:t>Asimismo, se subraya la posibilidad de que una ayuda de Estado</w:t>
      </w:r>
      <w:r w:rsidR="00CD6B01" w:rsidRPr="00622E60">
        <w:rPr>
          <w:rFonts w:ascii="Tahoma" w:hAnsi="Tahoma"/>
        </w:rPr>
        <w:t>,</w:t>
      </w:r>
      <w:r w:rsidRPr="00622E60">
        <w:rPr>
          <w:rFonts w:ascii="Tahoma" w:hAnsi="Tahoma"/>
        </w:rPr>
        <w:t xml:space="preserve"> y su consiguiente control, exista con respecto a cualquiera de las tipologías de gastos propias del programa, por lo que esta ficha debe ser aplicada con carácter transversal a </w:t>
      </w:r>
      <w:r w:rsidR="00CD6B01" w:rsidRPr="00622E60">
        <w:rPr>
          <w:rFonts w:ascii="Tahoma" w:hAnsi="Tahoma"/>
        </w:rPr>
        <w:t>todas las categorías</w:t>
      </w:r>
      <w:r w:rsidR="00847CF2" w:rsidRPr="00622E60">
        <w:rPr>
          <w:rFonts w:ascii="Tahoma" w:hAnsi="Tahoma"/>
        </w:rPr>
        <w:t xml:space="preserve"> de gastos</w:t>
      </w:r>
      <w:r w:rsidR="00CD6B01" w:rsidRPr="00622E60">
        <w:rPr>
          <w:rFonts w:ascii="Tahoma" w:hAnsi="Tahoma"/>
        </w:rPr>
        <w:t>.</w:t>
      </w:r>
    </w:p>
    <w:p w14:paraId="304D1315" w14:textId="77777777" w:rsidR="00B911B4" w:rsidRDefault="00B911B4">
      <w:pPr>
        <w:spacing w:after="0" w:line="240" w:lineRule="auto"/>
        <w:jc w:val="both"/>
        <w:rPr>
          <w:rFonts w:ascii="Tahoma" w:hAnsi="Tahoma"/>
        </w:rPr>
      </w:pPr>
    </w:p>
    <w:p w14:paraId="17E1E832" w14:textId="77777777" w:rsidR="00B911B4" w:rsidRDefault="00B911B4">
      <w:pPr>
        <w:pStyle w:val="Prrafodelista"/>
        <w:spacing w:after="0" w:line="240" w:lineRule="auto"/>
        <w:rPr>
          <w:rFonts w:ascii="Tahoma" w:hAnsi="Tahoma" w:cs="Tahoma"/>
          <w:color w:val="4E81BC"/>
        </w:rPr>
      </w:pPr>
    </w:p>
    <w:p w14:paraId="5095784A" w14:textId="77777777" w:rsidR="00B911B4" w:rsidRDefault="00816AE0">
      <w:pPr>
        <w:pStyle w:val="Prrafodelista"/>
        <w:numPr>
          <w:ilvl w:val="0"/>
          <w:numId w:val="1"/>
        </w:numPr>
        <w:spacing w:after="0" w:line="240" w:lineRule="auto"/>
        <w:rPr>
          <w:rFonts w:ascii="Tahoma" w:hAnsi="Tahoma" w:cs="Tahoma"/>
          <w:color w:val="4E81BC"/>
        </w:rPr>
      </w:pPr>
      <w:r>
        <w:rPr>
          <w:rFonts w:ascii="Tahoma" w:hAnsi="Tahoma" w:cs="Tahoma"/>
          <w:b/>
          <w:bCs/>
          <w:color w:val="4E81BC"/>
        </w:rPr>
        <w:t xml:space="preserve">DEFINICIÓN </w:t>
      </w:r>
    </w:p>
    <w:p w14:paraId="11349C95" w14:textId="77777777" w:rsidR="00B911B4" w:rsidRDefault="00B911B4">
      <w:pPr>
        <w:pStyle w:val="Prrafodelista"/>
        <w:spacing w:after="0" w:line="240" w:lineRule="auto"/>
        <w:rPr>
          <w:rFonts w:ascii="Tahoma" w:hAnsi="Tahoma" w:cs="Tahoma"/>
          <w:color w:val="4E81BC"/>
        </w:rPr>
      </w:pPr>
    </w:p>
    <w:p w14:paraId="2A67B09C" w14:textId="77777777" w:rsidR="00B911B4" w:rsidRDefault="00816AE0">
      <w:pPr>
        <w:spacing w:after="0" w:line="240" w:lineRule="auto"/>
        <w:jc w:val="both"/>
        <w:rPr>
          <w:rFonts w:ascii="Tahoma" w:hAnsi="Tahoma" w:cs="Tahoma"/>
          <w:color w:val="000000"/>
        </w:rPr>
      </w:pPr>
      <w:r>
        <w:rPr>
          <w:rFonts w:ascii="Tahoma" w:hAnsi="Tahoma" w:cs="Tahoma"/>
          <w:color w:val="000000"/>
        </w:rPr>
        <w:t>Las ayudas de Estado se definen en el artículo 107 del Tratado de Funcionamiento de la Unión Europea (TFUE) como “las ayudas otorgadas por los Estados o mediante fondos estatales, bajo cualquier forma, que falseen o amenacen falsear la competencia favoreciendo a determinadas empresas o producciones”, y en la medida en que afecten a los intercambios comerciales entre Estados Miembros. Esta definición puede desglosarse en cinco criterios:</w:t>
      </w:r>
    </w:p>
    <w:p w14:paraId="66EF1827" w14:textId="77777777" w:rsidR="00B911B4" w:rsidRDefault="00B911B4">
      <w:pPr>
        <w:spacing w:after="0" w:line="240" w:lineRule="auto"/>
        <w:jc w:val="both"/>
        <w:rPr>
          <w:rFonts w:ascii="Tahoma" w:hAnsi="Tahoma" w:cs="Tahoma"/>
          <w:color w:val="000000"/>
        </w:rPr>
      </w:pPr>
    </w:p>
    <w:p w14:paraId="2A2D5C14" w14:textId="17406A7C" w:rsidR="00B911B4" w:rsidRDefault="009F4512" w:rsidP="009F4512">
      <w:pPr>
        <w:spacing w:after="0" w:line="240" w:lineRule="auto"/>
        <w:jc w:val="center"/>
        <w:rPr>
          <w:rFonts w:ascii="Tahoma" w:hAnsi="Tahoma" w:cs="Tahoma"/>
          <w:color w:val="000000"/>
        </w:rPr>
      </w:pPr>
      <w:r w:rsidRPr="009F4512">
        <w:rPr>
          <w:rFonts w:ascii="Tahoma" w:hAnsi="Tahoma" w:cs="Tahoma"/>
          <w:color w:val="000000"/>
        </w:rPr>
        <w:lastRenderedPageBreak/>
        <w:drawing>
          <wp:inline distT="0" distB="0" distL="0" distR="0" wp14:anchorId="1D41CC40" wp14:editId="1B654400">
            <wp:extent cx="4452912" cy="598678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78498" cy="6021179"/>
                    </a:xfrm>
                    <a:prstGeom prst="rect">
                      <a:avLst/>
                    </a:prstGeom>
                  </pic:spPr>
                </pic:pic>
              </a:graphicData>
            </a:graphic>
          </wp:inline>
        </w:drawing>
      </w:r>
    </w:p>
    <w:p w14:paraId="29322317" w14:textId="77777777" w:rsidR="00B911B4" w:rsidRDefault="00816AE0">
      <w:pPr>
        <w:spacing w:after="0" w:line="240" w:lineRule="auto"/>
        <w:jc w:val="both"/>
        <w:rPr>
          <w:rFonts w:ascii="Tahoma" w:hAnsi="Tahoma" w:cs="Tahoma"/>
          <w:color w:val="000000"/>
        </w:rPr>
      </w:pPr>
      <w:r>
        <w:rPr>
          <w:rFonts w:ascii="Tahoma" w:hAnsi="Tahoma" w:cs="Tahoma"/>
          <w:color w:val="000000"/>
        </w:rPr>
        <w:t xml:space="preserve"> </w:t>
      </w:r>
    </w:p>
    <w:p w14:paraId="0378E933" w14:textId="77777777" w:rsidR="00B911B4" w:rsidRDefault="00816AE0">
      <w:pPr>
        <w:spacing w:after="0" w:line="240" w:lineRule="auto"/>
        <w:jc w:val="both"/>
      </w:pPr>
      <w:r>
        <w:rPr>
          <w:rFonts w:ascii="Tahoma" w:hAnsi="Tahoma" w:cs="Tahoma"/>
          <w:color w:val="000000"/>
        </w:rPr>
        <w:t>Estos criterios son acumulativos, es decir, si no se cumplen uno o varios, la ayuda que reciba la entidad beneficiaria no está sujeta a la normativa sobre ayudas de Estado.</w:t>
      </w:r>
    </w:p>
    <w:p w14:paraId="5096F3B6" w14:textId="77777777" w:rsidR="00B911B4" w:rsidRDefault="00B911B4">
      <w:pPr>
        <w:spacing w:after="0" w:line="240" w:lineRule="auto"/>
        <w:jc w:val="both"/>
        <w:rPr>
          <w:rFonts w:ascii="Tahoma" w:hAnsi="Tahoma" w:cs="Tahoma"/>
          <w:color w:val="000000"/>
        </w:rPr>
      </w:pPr>
    </w:p>
    <w:p w14:paraId="4A107112" w14:textId="77777777" w:rsidR="00B911B4" w:rsidRDefault="00816AE0">
      <w:pPr>
        <w:spacing w:after="0" w:line="240" w:lineRule="auto"/>
        <w:jc w:val="both"/>
        <w:rPr>
          <w:rFonts w:ascii="Tahoma" w:hAnsi="Tahoma" w:cs="Tahoma"/>
          <w:color w:val="000000"/>
        </w:rPr>
      </w:pPr>
      <w:r>
        <w:rPr>
          <w:rFonts w:ascii="Tahoma" w:hAnsi="Tahoma" w:cs="Tahoma"/>
          <w:color w:val="000000"/>
        </w:rPr>
        <w:t>Todas las ayudas que cumplen los criterios anteriores entran en el ámbito de aplicación de las normas sobre ayudas de Estado, independientemente del estatuto jurídico de las entidades que las reciban y de si tienen o no ánimo de lucro. Esto significa que tanto las entidades públicas como las privadas pueden verse afectadas por el control de las normas de ayudas de Estado.</w:t>
      </w:r>
    </w:p>
    <w:p w14:paraId="16EE6947" w14:textId="77777777" w:rsidR="009F4512" w:rsidRDefault="009F4512">
      <w:pPr>
        <w:spacing w:after="0" w:line="240" w:lineRule="auto"/>
        <w:jc w:val="both"/>
        <w:rPr>
          <w:rFonts w:ascii="Tahoma" w:hAnsi="Tahoma" w:cs="Tahoma"/>
          <w:color w:val="000000"/>
        </w:rPr>
      </w:pPr>
    </w:p>
    <w:p w14:paraId="534981E3" w14:textId="77777777" w:rsidR="009F4512" w:rsidRDefault="009F4512">
      <w:pPr>
        <w:spacing w:after="0" w:line="240" w:lineRule="auto"/>
        <w:jc w:val="both"/>
        <w:rPr>
          <w:rFonts w:ascii="Tahoma" w:hAnsi="Tahoma" w:cs="Tahoma"/>
          <w:color w:val="000000"/>
        </w:rPr>
      </w:pPr>
    </w:p>
    <w:p w14:paraId="4608CB0A" w14:textId="77777777" w:rsidR="009F4512" w:rsidRDefault="009F4512">
      <w:pPr>
        <w:spacing w:after="0" w:line="240" w:lineRule="auto"/>
        <w:jc w:val="both"/>
        <w:rPr>
          <w:rFonts w:ascii="Tahoma" w:hAnsi="Tahoma" w:cs="Tahoma"/>
          <w:color w:val="000000"/>
        </w:rPr>
      </w:pPr>
    </w:p>
    <w:p w14:paraId="73CEA537" w14:textId="77777777" w:rsidR="00B911B4" w:rsidRDefault="00B911B4">
      <w:pPr>
        <w:rPr>
          <w:rFonts w:ascii="Tahoma" w:hAnsi="Tahoma" w:cs="Tahoma"/>
          <w:color w:val="000000"/>
        </w:rPr>
      </w:pPr>
    </w:p>
    <w:p w14:paraId="59A51B7A" w14:textId="77777777" w:rsidR="00B911B4" w:rsidRDefault="00816AE0">
      <w:pPr>
        <w:pStyle w:val="Prrafodelista"/>
        <w:numPr>
          <w:ilvl w:val="0"/>
          <w:numId w:val="1"/>
        </w:numPr>
        <w:tabs>
          <w:tab w:val="left" w:pos="1943"/>
        </w:tabs>
        <w:spacing w:after="0" w:line="240" w:lineRule="auto"/>
        <w:jc w:val="both"/>
        <w:rPr>
          <w:rFonts w:ascii="Tahoma" w:hAnsi="Tahoma" w:cs="Tahoma"/>
          <w:b/>
          <w:bCs/>
          <w:color w:val="4E81BC"/>
        </w:rPr>
      </w:pPr>
      <w:r>
        <w:rPr>
          <w:rFonts w:ascii="Tahoma" w:hAnsi="Tahoma" w:cs="Tahoma"/>
          <w:b/>
          <w:bCs/>
          <w:color w:val="4E81BC"/>
        </w:rPr>
        <w:lastRenderedPageBreak/>
        <w:t>NORMATIVA</w:t>
      </w:r>
    </w:p>
    <w:p w14:paraId="2E1BF1C3" w14:textId="77777777" w:rsidR="00B911B4" w:rsidRDefault="00B911B4">
      <w:pPr>
        <w:spacing w:after="0" w:line="240" w:lineRule="auto"/>
        <w:jc w:val="both"/>
        <w:rPr>
          <w:rFonts w:ascii="Tahoma" w:hAnsi="Tahoma"/>
        </w:rPr>
      </w:pPr>
    </w:p>
    <w:p w14:paraId="01168289" w14:textId="77777777" w:rsidR="00B911B4" w:rsidRDefault="00816AE0">
      <w:pPr>
        <w:spacing w:after="0" w:line="240" w:lineRule="auto"/>
        <w:jc w:val="both"/>
        <w:rPr>
          <w:rFonts w:ascii="Tahoma" w:hAnsi="Tahoma"/>
        </w:rPr>
      </w:pPr>
      <w:r>
        <w:rPr>
          <w:rFonts w:ascii="Tahoma" w:hAnsi="Tahoma"/>
        </w:rPr>
        <w:t>- Comunicación de la Comisión 2016/C 262/01 relativa al concepto de ayuda estatal.</w:t>
      </w:r>
    </w:p>
    <w:p w14:paraId="579A7A30" w14:textId="77777777" w:rsidR="00B911B4" w:rsidRDefault="00B911B4">
      <w:pPr>
        <w:spacing w:after="0" w:line="240" w:lineRule="auto"/>
        <w:jc w:val="both"/>
        <w:rPr>
          <w:rFonts w:ascii="Tahoma" w:hAnsi="Tahoma"/>
        </w:rPr>
      </w:pPr>
    </w:p>
    <w:p w14:paraId="5C4E7B06" w14:textId="77777777" w:rsidR="00B911B4" w:rsidRDefault="00816AE0">
      <w:pPr>
        <w:spacing w:after="0" w:line="240" w:lineRule="auto"/>
        <w:jc w:val="both"/>
        <w:rPr>
          <w:rFonts w:ascii="Tahoma" w:hAnsi="Tahoma"/>
        </w:rPr>
      </w:pPr>
      <w:r>
        <w:rPr>
          <w:rFonts w:ascii="Tahoma" w:hAnsi="Tahoma"/>
        </w:rPr>
        <w:t>- Reglamento (UE) nº 651/2014 por el que se declaran determinadas categorías de ayuda compatibles con el mercado interior en aplicación de los artículos 107 y 108 del Tratado (Reglamento General de Exención por Categorías, RGEC), artículos 20 y 20 bis.</w:t>
      </w:r>
    </w:p>
    <w:p w14:paraId="49D27696" w14:textId="77777777" w:rsidR="00B911B4" w:rsidRDefault="00B911B4">
      <w:pPr>
        <w:spacing w:after="0" w:line="240" w:lineRule="auto"/>
        <w:jc w:val="both"/>
        <w:rPr>
          <w:rFonts w:ascii="Tahoma" w:hAnsi="Tahoma"/>
        </w:rPr>
      </w:pPr>
    </w:p>
    <w:p w14:paraId="2A1C376E" w14:textId="77777777" w:rsidR="00B911B4" w:rsidRDefault="00816AE0">
      <w:pPr>
        <w:spacing w:after="0" w:line="240" w:lineRule="auto"/>
        <w:jc w:val="both"/>
        <w:rPr>
          <w:rFonts w:ascii="Tahoma" w:hAnsi="Tahoma"/>
        </w:rPr>
      </w:pPr>
      <w:r>
        <w:rPr>
          <w:rFonts w:ascii="Tahoma" w:hAnsi="Tahoma"/>
          <w:b/>
        </w:rPr>
        <w:t>A. Artículo 20:</w:t>
      </w:r>
      <w:r>
        <w:rPr>
          <w:rFonts w:ascii="Tahoma" w:hAnsi="Tahoma"/>
        </w:rPr>
        <w:t xml:space="preserve"> Ayudas para los costes en que incurran las empresas participantes en proyectos de Cooperación Territorial Europea.</w:t>
      </w:r>
    </w:p>
    <w:p w14:paraId="17872FC2" w14:textId="77777777" w:rsidR="00B911B4" w:rsidRDefault="00B911B4">
      <w:pPr>
        <w:spacing w:after="0" w:line="240" w:lineRule="auto"/>
        <w:jc w:val="both"/>
        <w:rPr>
          <w:rFonts w:ascii="Tahoma" w:hAnsi="Tahoma"/>
        </w:rPr>
      </w:pPr>
    </w:p>
    <w:p w14:paraId="383FF32E" w14:textId="77777777" w:rsidR="00B911B4" w:rsidRDefault="00816AE0">
      <w:pPr>
        <w:spacing w:after="0" w:line="240" w:lineRule="auto"/>
        <w:jc w:val="both"/>
      </w:pPr>
      <w:r>
        <w:rPr>
          <w:rFonts w:ascii="Tahoma" w:hAnsi="Tahoma"/>
        </w:rPr>
        <w:t>Según lo establecido en este artículo el programa Interreg MAC ha permitido la participación de empresas como socias en los proyectos, con un presupuesto determinado para la realización de las actividades. Para ello, se han comunicado a la Comisión Europea los datos necesarios, asignando al programa el número de ayuda S.A. 110211.</w:t>
      </w:r>
    </w:p>
    <w:p w14:paraId="0860ED0D" w14:textId="77777777" w:rsidR="00B911B4" w:rsidRDefault="00B911B4">
      <w:pPr>
        <w:spacing w:after="0" w:line="240" w:lineRule="auto"/>
        <w:jc w:val="both"/>
        <w:rPr>
          <w:rFonts w:ascii="Tahoma" w:hAnsi="Tahoma"/>
        </w:rPr>
      </w:pPr>
    </w:p>
    <w:p w14:paraId="0972CE30" w14:textId="77777777" w:rsidR="00B911B4" w:rsidRDefault="00816AE0">
      <w:pPr>
        <w:spacing w:after="0" w:line="240" w:lineRule="auto"/>
        <w:jc w:val="both"/>
        <w:rPr>
          <w:rFonts w:ascii="Tahoma" w:hAnsi="Tahoma"/>
        </w:rPr>
      </w:pPr>
      <w:r>
        <w:rPr>
          <w:rFonts w:ascii="Tahoma" w:hAnsi="Tahoma"/>
          <w:b/>
        </w:rPr>
        <w:t>B. Artículo 20 bis:</w:t>
      </w:r>
      <w:r>
        <w:rPr>
          <w:rFonts w:ascii="Tahoma" w:hAnsi="Tahoma"/>
        </w:rPr>
        <w:t xml:space="preserve"> Importes limitados de ayuda a empresas para la participación en proyectos de Cooperación Territorial Europea.</w:t>
      </w:r>
    </w:p>
    <w:p w14:paraId="145CBF56" w14:textId="77777777" w:rsidR="00B911B4" w:rsidRDefault="00B911B4">
      <w:pPr>
        <w:spacing w:after="0" w:line="240" w:lineRule="auto"/>
        <w:jc w:val="both"/>
        <w:rPr>
          <w:rFonts w:ascii="Tahoma" w:hAnsi="Tahoma"/>
        </w:rPr>
      </w:pPr>
    </w:p>
    <w:p w14:paraId="45250D0D" w14:textId="77777777" w:rsidR="00B911B4" w:rsidRPr="006D00F2" w:rsidRDefault="00816AE0">
      <w:pPr>
        <w:spacing w:after="0" w:line="240" w:lineRule="auto"/>
        <w:jc w:val="both"/>
        <w:rPr>
          <w:rFonts w:ascii="Tahoma" w:hAnsi="Tahoma"/>
        </w:rPr>
      </w:pPr>
      <w:r>
        <w:rPr>
          <w:rFonts w:ascii="Tahoma" w:hAnsi="Tahoma"/>
        </w:rPr>
        <w:t xml:space="preserve">En aplicación de este artículo, puede haber </w:t>
      </w:r>
      <w:r w:rsidRPr="006D00F2">
        <w:rPr>
          <w:rFonts w:ascii="Tahoma" w:hAnsi="Tahoma"/>
        </w:rPr>
        <w:t>entidades que reciban ventajas o ayudas, a cargo del presupuesto de entidades socias del proyecto, derivadas de las actividades del proyecto.</w:t>
      </w:r>
    </w:p>
    <w:p w14:paraId="39727826" w14:textId="77777777" w:rsidR="00B911B4" w:rsidRPr="006D00F2" w:rsidRDefault="00B911B4">
      <w:pPr>
        <w:spacing w:after="0" w:line="240" w:lineRule="auto"/>
        <w:jc w:val="both"/>
        <w:rPr>
          <w:rFonts w:ascii="Tahoma" w:hAnsi="Tahoma"/>
        </w:rPr>
      </w:pPr>
    </w:p>
    <w:p w14:paraId="77782E21" w14:textId="77777777" w:rsidR="00B911B4" w:rsidRPr="006D00F2" w:rsidRDefault="00816AE0">
      <w:pPr>
        <w:spacing w:after="0" w:line="240" w:lineRule="auto"/>
        <w:jc w:val="both"/>
        <w:rPr>
          <w:rFonts w:ascii="Tahoma" w:hAnsi="Tahoma"/>
          <w:b/>
        </w:rPr>
      </w:pPr>
      <w:r w:rsidRPr="006D00F2">
        <w:rPr>
          <w:rFonts w:ascii="Tahoma" w:hAnsi="Tahoma"/>
          <w:b/>
        </w:rPr>
        <w:t>Es importante subrayar que no se permite el apoyo financiero entendido como concesión de ayuda directa o subvención.</w:t>
      </w:r>
    </w:p>
    <w:p w14:paraId="721F71F3" w14:textId="77777777" w:rsidR="00B911B4" w:rsidRDefault="00B911B4">
      <w:pPr>
        <w:spacing w:after="0" w:line="240" w:lineRule="auto"/>
        <w:jc w:val="both"/>
        <w:rPr>
          <w:rFonts w:ascii="Tahoma" w:hAnsi="Tahoma"/>
        </w:rPr>
      </w:pPr>
    </w:p>
    <w:p w14:paraId="3B6366FF" w14:textId="77777777" w:rsidR="00B911B4" w:rsidRDefault="00816AE0">
      <w:pPr>
        <w:spacing w:after="0" w:line="240" w:lineRule="auto"/>
        <w:jc w:val="both"/>
      </w:pPr>
      <w:r>
        <w:rPr>
          <w:rFonts w:ascii="Tahoma" w:hAnsi="Tahoma"/>
        </w:rPr>
        <w:t>El importe total de la ayuda en virtud de esta exención no debe superar los 22.000 euros por empresa y proyecto; para ello los socios deberán comprobar que no se supera el importe total de 22.000€ por empresa en su proyecto.</w:t>
      </w:r>
    </w:p>
    <w:p w14:paraId="6F7317E1" w14:textId="77777777" w:rsidR="00B911B4" w:rsidRDefault="00B911B4">
      <w:pPr>
        <w:spacing w:after="0" w:line="240" w:lineRule="auto"/>
        <w:jc w:val="both"/>
        <w:rPr>
          <w:rFonts w:ascii="Tahoma" w:hAnsi="Tahoma"/>
        </w:rPr>
      </w:pPr>
    </w:p>
    <w:p w14:paraId="2D680B60" w14:textId="77777777" w:rsidR="00B911B4" w:rsidRDefault="00816AE0">
      <w:pPr>
        <w:spacing w:after="0" w:line="240" w:lineRule="auto"/>
        <w:jc w:val="both"/>
        <w:rPr>
          <w:rFonts w:ascii="Tahoma" w:hAnsi="Tahoma"/>
        </w:rPr>
      </w:pPr>
      <w:r>
        <w:rPr>
          <w:rFonts w:ascii="Tahoma" w:hAnsi="Tahoma"/>
        </w:rPr>
        <w:t xml:space="preserve">Para dar cumplimiento a esta obligación, el beneficiario FEDER del proyecto deberá remitir a la entidad una comunicación en la que se le informe de que la ayuda que percibe tiene la consideración de Ayuda de Estado. Asimismo, la entidad receptora de dicha ayuda deberá comunicar al beneficiario FEDER cualquier otra ayuda de Estado acogida a este artículo por proyecto, indicando su naturaleza y el importe correspondiente. A efectos del Programa, esto se hará adjuntando los Anexos I y II mencionados en el siguiente apartado. </w:t>
      </w:r>
    </w:p>
    <w:p w14:paraId="0B892670" w14:textId="77777777" w:rsidR="00B911B4" w:rsidRDefault="00B911B4">
      <w:pPr>
        <w:spacing w:after="0" w:line="240" w:lineRule="auto"/>
        <w:jc w:val="both"/>
        <w:rPr>
          <w:rFonts w:ascii="Tahoma" w:hAnsi="Tahoma"/>
        </w:rPr>
      </w:pPr>
    </w:p>
    <w:p w14:paraId="279451E2" w14:textId="77777777" w:rsidR="00B911B4" w:rsidRDefault="00B911B4">
      <w:pPr>
        <w:spacing w:after="0" w:line="240" w:lineRule="auto"/>
        <w:rPr>
          <w:rFonts w:ascii="Tahoma" w:hAnsi="Tahoma" w:cs="Tahoma"/>
          <w:b/>
          <w:bCs/>
          <w:color w:val="4E81BC"/>
        </w:rPr>
      </w:pPr>
    </w:p>
    <w:p w14:paraId="0016119D" w14:textId="77777777" w:rsidR="00B911B4" w:rsidRDefault="00816AE0">
      <w:pPr>
        <w:spacing w:after="0" w:line="240" w:lineRule="auto"/>
        <w:rPr>
          <w:rFonts w:ascii="Tahoma" w:hAnsi="Tahoma" w:cs="Tahoma"/>
          <w:color w:val="4E81BC"/>
        </w:rPr>
      </w:pPr>
      <w:r>
        <w:rPr>
          <w:rFonts w:ascii="Tahoma" w:hAnsi="Tahoma" w:cs="Tahoma"/>
          <w:b/>
          <w:bCs/>
          <w:color w:val="4E81BC"/>
        </w:rPr>
        <w:t xml:space="preserve">4. PISTA DE AUDITORÍA </w:t>
      </w:r>
    </w:p>
    <w:p w14:paraId="69AE6496" w14:textId="77777777" w:rsidR="00B911B4" w:rsidRDefault="00B911B4">
      <w:pPr>
        <w:spacing w:after="0" w:line="240" w:lineRule="auto"/>
        <w:rPr>
          <w:rFonts w:ascii="Tahoma" w:hAnsi="Tahoma" w:cs="Tahoma"/>
          <w:color w:val="4E81BC"/>
        </w:rPr>
      </w:pPr>
    </w:p>
    <w:p w14:paraId="6255C34E" w14:textId="77777777" w:rsidR="00B911B4" w:rsidRDefault="00816AE0">
      <w:pPr>
        <w:spacing w:after="0" w:line="240" w:lineRule="auto"/>
        <w:jc w:val="both"/>
        <w:rPr>
          <w:rFonts w:ascii="Tahoma" w:hAnsi="Tahoma" w:cs="Tahoma"/>
          <w:color w:val="000000"/>
        </w:rPr>
      </w:pPr>
      <w:r>
        <w:rPr>
          <w:rFonts w:ascii="Tahoma" w:hAnsi="Tahoma" w:cs="Tahoma"/>
          <w:color w:val="000000"/>
        </w:rPr>
        <w:t xml:space="preserve">A efectos de control, los documentos justificativos que deben formar parte de la </w:t>
      </w:r>
      <w:r>
        <w:rPr>
          <w:rFonts w:ascii="Tahoma" w:hAnsi="Tahoma" w:cs="Tahoma"/>
          <w:b/>
          <w:bCs/>
          <w:color w:val="000000"/>
        </w:rPr>
        <w:t xml:space="preserve">pista de auditoría </w:t>
      </w:r>
      <w:r>
        <w:rPr>
          <w:rFonts w:ascii="Tahoma" w:hAnsi="Tahoma" w:cs="Tahoma"/>
          <w:color w:val="000000"/>
        </w:rPr>
        <w:t>son los siguientes</w:t>
      </w:r>
      <w:r>
        <w:rPr>
          <w:rFonts w:ascii="Tahoma" w:hAnsi="Tahoma" w:cs="Tahoma"/>
        </w:rPr>
        <w:t xml:space="preserve">: </w:t>
      </w:r>
    </w:p>
    <w:p w14:paraId="0F3275A2" w14:textId="77777777" w:rsidR="00B911B4" w:rsidRDefault="00B911B4">
      <w:pPr>
        <w:spacing w:after="0" w:line="240" w:lineRule="auto"/>
        <w:jc w:val="both"/>
        <w:rPr>
          <w:rFonts w:ascii="Tahoma" w:hAnsi="Tahoma" w:cs="Tahoma"/>
        </w:rPr>
      </w:pPr>
    </w:p>
    <w:p w14:paraId="1DD789B7" w14:textId="77777777" w:rsidR="00B911B4" w:rsidRDefault="00816AE0">
      <w:pPr>
        <w:pStyle w:val="Prrafodelista"/>
        <w:numPr>
          <w:ilvl w:val="0"/>
          <w:numId w:val="2"/>
        </w:numPr>
        <w:spacing w:after="0" w:line="240" w:lineRule="auto"/>
        <w:jc w:val="both"/>
        <w:rPr>
          <w:rFonts w:ascii="Tahoma" w:hAnsi="Tahoma" w:cs="Tahoma"/>
        </w:rPr>
      </w:pPr>
      <w:r>
        <w:rPr>
          <w:rFonts w:ascii="Tahoma" w:hAnsi="Tahoma"/>
          <w:b/>
        </w:rPr>
        <w:t>Anexo I</w:t>
      </w:r>
      <w:r>
        <w:rPr>
          <w:rFonts w:ascii="Tahoma" w:hAnsi="Tahoma"/>
        </w:rPr>
        <w:t>: El beneficiario FEDER del proyecto deberá remitir a la entidad una comunicación en la que se le informe de que la ayuda que percibe tiene la consideración de Ayuda de Estado.</w:t>
      </w:r>
    </w:p>
    <w:p w14:paraId="70CAFE5B" w14:textId="77777777" w:rsidR="00B911B4" w:rsidRDefault="00816AE0">
      <w:pPr>
        <w:pStyle w:val="Prrafodelista"/>
        <w:numPr>
          <w:ilvl w:val="0"/>
          <w:numId w:val="2"/>
        </w:numPr>
        <w:spacing w:after="0" w:line="240" w:lineRule="auto"/>
        <w:jc w:val="both"/>
        <w:rPr>
          <w:rFonts w:ascii="Tahoma" w:hAnsi="Tahoma" w:cs="Tahoma"/>
        </w:rPr>
      </w:pPr>
      <w:r>
        <w:rPr>
          <w:rFonts w:ascii="Tahoma" w:hAnsi="Tahoma"/>
          <w:b/>
        </w:rPr>
        <w:lastRenderedPageBreak/>
        <w:t>Anexo II:</w:t>
      </w:r>
      <w:r>
        <w:rPr>
          <w:rFonts w:ascii="Tahoma" w:hAnsi="Tahoma"/>
        </w:rPr>
        <w:t xml:space="preserve"> La entidad receptora de dicha ayuda deberá comunicar al beneficiario FEDER cualquier otra ayuda de Estado acogida a este artículo por proyecto, indicando su naturaleza y el importe correspondiente.</w:t>
      </w:r>
    </w:p>
    <w:p w14:paraId="368CD0D6" w14:textId="77777777" w:rsidR="00B911B4" w:rsidRDefault="00B911B4">
      <w:pPr>
        <w:spacing w:after="0" w:line="240" w:lineRule="auto"/>
        <w:jc w:val="both"/>
        <w:rPr>
          <w:rFonts w:ascii="Tahoma" w:hAnsi="Tahoma" w:cs="Tahoma"/>
          <w:u w:val="single"/>
        </w:rPr>
      </w:pPr>
    </w:p>
    <w:p w14:paraId="53346B3F" w14:textId="77777777" w:rsidR="00B911B4" w:rsidRDefault="00816AE0">
      <w:pPr>
        <w:spacing w:after="0" w:line="240" w:lineRule="auto"/>
        <w:jc w:val="both"/>
        <w:rPr>
          <w:rFonts w:ascii="Tahoma" w:hAnsi="Tahoma" w:cs="Tahoma"/>
        </w:rPr>
      </w:pPr>
      <w:r>
        <w:rPr>
          <w:rFonts w:ascii="Tahoma" w:hAnsi="Tahoma" w:cs="Tahoma"/>
          <w:u w:val="single"/>
        </w:rPr>
        <w:t>Se deberá adjuntar, en su caso, los Anexos I y II establecidos al efecto y disponibles en el apartado de “Documentación” de la web del programa.</w:t>
      </w:r>
    </w:p>
    <w:p w14:paraId="1D0330FF" w14:textId="77777777" w:rsidR="00B911B4" w:rsidRDefault="00B911B4">
      <w:pPr>
        <w:spacing w:after="0" w:line="240" w:lineRule="auto"/>
        <w:jc w:val="both"/>
        <w:rPr>
          <w:rFonts w:ascii="Tahoma" w:hAnsi="Tahoma" w:cs="Tahoma"/>
        </w:rPr>
      </w:pPr>
    </w:p>
    <w:p w14:paraId="1E7B69B3" w14:textId="77777777" w:rsidR="00B911B4" w:rsidRDefault="00B911B4">
      <w:pPr>
        <w:spacing w:after="0" w:line="240" w:lineRule="auto"/>
        <w:jc w:val="both"/>
        <w:rPr>
          <w:rFonts w:ascii="Tahoma" w:hAnsi="Tahoma" w:cs="Tahoma"/>
        </w:rPr>
      </w:pPr>
    </w:p>
    <w:p w14:paraId="7F92C14E" w14:textId="77777777" w:rsidR="00B911B4" w:rsidRPr="006D00F2" w:rsidRDefault="00816AE0">
      <w:pPr>
        <w:spacing w:after="0" w:line="240" w:lineRule="auto"/>
        <w:rPr>
          <w:rFonts w:ascii="Tahoma" w:hAnsi="Tahoma" w:cs="Tahoma"/>
          <w:b/>
          <w:bCs/>
          <w:color w:val="4E81BC"/>
        </w:rPr>
      </w:pPr>
      <w:r w:rsidRPr="006D00F2">
        <w:rPr>
          <w:rFonts w:ascii="Tahoma" w:hAnsi="Tahoma" w:cs="Tahoma"/>
          <w:b/>
          <w:bCs/>
          <w:color w:val="4E81BC"/>
        </w:rPr>
        <w:t>5. EJEMPLOS</w:t>
      </w:r>
    </w:p>
    <w:p w14:paraId="3C0EBFE7" w14:textId="77777777" w:rsidR="00B911B4" w:rsidRPr="006D00F2" w:rsidRDefault="00B911B4">
      <w:pPr>
        <w:spacing w:after="0" w:line="240" w:lineRule="auto"/>
        <w:rPr>
          <w:b/>
          <w:bCs/>
          <w:color w:val="4E81BC"/>
          <w:shd w:val="clear" w:color="auto" w:fill="81D41A"/>
        </w:rPr>
      </w:pPr>
    </w:p>
    <w:p w14:paraId="1CE4D06B" w14:textId="6A8F2120" w:rsidR="00B911B4" w:rsidRPr="0025038E" w:rsidRDefault="00816AE0" w:rsidP="0025038E">
      <w:pPr>
        <w:spacing w:after="0" w:line="240" w:lineRule="auto"/>
        <w:jc w:val="both"/>
        <w:rPr>
          <w:rFonts w:ascii="Tahoma" w:hAnsi="Tahoma" w:cs="Tahoma"/>
          <w:color w:val="000000"/>
        </w:rPr>
      </w:pPr>
      <w:r w:rsidRPr="0025038E">
        <w:rPr>
          <w:rFonts w:ascii="Tahoma" w:hAnsi="Tahoma" w:cs="Tahoma"/>
          <w:color w:val="000000"/>
        </w:rPr>
        <w:t xml:space="preserve">En un proyecto MAC, el partenariado puede estar formado por entidades que destinen parte de su presupuesto a </w:t>
      </w:r>
      <w:r w:rsidRPr="0025038E">
        <w:rPr>
          <w:rFonts w:ascii="Tahoma" w:hAnsi="Tahoma" w:cs="Tahoma"/>
          <w:b/>
          <w:color w:val="000000"/>
        </w:rPr>
        <w:t xml:space="preserve">prestar servicios individualizados y </w:t>
      </w:r>
      <w:r w:rsidR="00127F22" w:rsidRPr="0025038E">
        <w:rPr>
          <w:rFonts w:ascii="Tahoma" w:hAnsi="Tahoma" w:cs="Tahoma"/>
          <w:b/>
          <w:color w:val="000000"/>
        </w:rPr>
        <w:t>gratuit</w:t>
      </w:r>
      <w:r w:rsidR="006D00F2" w:rsidRPr="0025038E">
        <w:rPr>
          <w:rFonts w:ascii="Tahoma" w:hAnsi="Tahoma" w:cs="Tahoma"/>
          <w:b/>
          <w:color w:val="000000"/>
        </w:rPr>
        <w:t>o</w:t>
      </w:r>
      <w:r w:rsidR="00127F22" w:rsidRPr="0025038E">
        <w:rPr>
          <w:rFonts w:ascii="Tahoma" w:hAnsi="Tahoma" w:cs="Tahoma"/>
          <w:b/>
          <w:color w:val="000000"/>
        </w:rPr>
        <w:t>s</w:t>
      </w:r>
      <w:r w:rsidR="0010127C" w:rsidRPr="0025038E">
        <w:rPr>
          <w:rFonts w:ascii="Tahoma" w:hAnsi="Tahoma" w:cs="Tahoma"/>
          <w:b/>
          <w:color w:val="000000"/>
        </w:rPr>
        <w:t xml:space="preserve"> </w:t>
      </w:r>
      <w:r w:rsidRPr="0025038E">
        <w:rPr>
          <w:rFonts w:ascii="Tahoma" w:hAnsi="Tahoma" w:cs="Tahoma"/>
          <w:b/>
          <w:color w:val="000000"/>
        </w:rPr>
        <w:t>a empresas</w:t>
      </w:r>
      <w:r w:rsidRPr="0025038E">
        <w:rPr>
          <w:rFonts w:ascii="Tahoma" w:hAnsi="Tahoma" w:cs="Tahoma"/>
          <w:color w:val="000000"/>
        </w:rPr>
        <w:t xml:space="preserve">, por lo que éstas pasan a ser </w:t>
      </w:r>
      <w:r w:rsidRPr="0025038E">
        <w:rPr>
          <w:rFonts w:ascii="Tahoma" w:hAnsi="Tahoma" w:cs="Tahoma"/>
          <w:b/>
          <w:color w:val="000000"/>
        </w:rPr>
        <w:t>destinatarias últimas de ayudas</w:t>
      </w:r>
      <w:r w:rsidRPr="0025038E">
        <w:rPr>
          <w:rFonts w:ascii="Tahoma" w:hAnsi="Tahoma" w:cs="Tahoma"/>
          <w:color w:val="000000"/>
        </w:rPr>
        <w:t>.</w:t>
      </w:r>
    </w:p>
    <w:p w14:paraId="111C6800" w14:textId="77777777" w:rsidR="00B911B4" w:rsidRPr="0025038E" w:rsidRDefault="00B911B4" w:rsidP="0025038E">
      <w:pPr>
        <w:spacing w:after="0" w:line="240" w:lineRule="auto"/>
        <w:jc w:val="both"/>
        <w:rPr>
          <w:rFonts w:ascii="Tahoma" w:hAnsi="Tahoma" w:cs="Tahoma"/>
          <w:color w:val="000000"/>
        </w:rPr>
      </w:pPr>
    </w:p>
    <w:p w14:paraId="21BADC29" w14:textId="373D5064" w:rsidR="00EF047F" w:rsidRDefault="00816AE0" w:rsidP="0025038E">
      <w:pPr>
        <w:spacing w:after="0" w:line="240" w:lineRule="auto"/>
        <w:jc w:val="both"/>
        <w:rPr>
          <w:rFonts w:ascii="Tahoma" w:hAnsi="Tahoma" w:cs="Tahoma"/>
          <w:b/>
          <w:color w:val="000000"/>
        </w:rPr>
      </w:pPr>
      <w:r w:rsidRPr="0025038E">
        <w:rPr>
          <w:rFonts w:ascii="Tahoma" w:hAnsi="Tahoma" w:cs="Tahoma"/>
          <w:b/>
          <w:color w:val="000000"/>
        </w:rPr>
        <w:t>A</w:t>
      </w:r>
      <w:r w:rsidR="00127F22" w:rsidRPr="0025038E">
        <w:rPr>
          <w:rFonts w:ascii="Tahoma" w:hAnsi="Tahoma" w:cs="Tahoma"/>
          <w:b/>
          <w:color w:val="000000"/>
        </w:rPr>
        <w:t xml:space="preserve"> continuación, se aportan, a modo de ejemplo, algunas actuaciones en las que </w:t>
      </w:r>
      <w:r w:rsidR="00127F22" w:rsidRPr="0025038E">
        <w:rPr>
          <w:rFonts w:ascii="Tahoma" w:hAnsi="Tahoma" w:cs="Tahoma"/>
          <w:b/>
          <w:color w:val="000000"/>
          <w:u w:val="single"/>
        </w:rPr>
        <w:t>se aplicaría el artículo 20 bis</w:t>
      </w:r>
      <w:r w:rsidRPr="0025038E">
        <w:rPr>
          <w:rFonts w:ascii="Tahoma" w:hAnsi="Tahoma" w:cs="Tahoma"/>
          <w:b/>
          <w:color w:val="000000"/>
        </w:rPr>
        <w:t>:</w:t>
      </w:r>
    </w:p>
    <w:p w14:paraId="379A2760" w14:textId="120D8192" w:rsidR="009F4512" w:rsidRDefault="009F4512" w:rsidP="0025038E">
      <w:pPr>
        <w:spacing w:after="0" w:line="240" w:lineRule="auto"/>
        <w:jc w:val="both"/>
        <w:rPr>
          <w:rFonts w:ascii="Tahoma" w:hAnsi="Tahoma" w:cs="Tahoma"/>
          <w:b/>
          <w:color w:val="000000"/>
        </w:rPr>
      </w:pPr>
      <w:r w:rsidRPr="009F4512">
        <w:rPr>
          <w:rFonts w:ascii="Tahoma" w:hAnsi="Tahoma" w:cs="Tahoma"/>
          <w:b/>
          <w:color w:val="000000"/>
        </w:rPr>
        <w:drawing>
          <wp:inline distT="0" distB="0" distL="0" distR="0" wp14:anchorId="2B307078" wp14:editId="7C57686F">
            <wp:extent cx="4887007" cy="5058481"/>
            <wp:effectExtent l="0" t="0" r="889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87007" cy="5058481"/>
                    </a:xfrm>
                    <a:prstGeom prst="rect">
                      <a:avLst/>
                    </a:prstGeom>
                  </pic:spPr>
                </pic:pic>
              </a:graphicData>
            </a:graphic>
          </wp:inline>
        </w:drawing>
      </w:r>
    </w:p>
    <w:p w14:paraId="6C73E0FE" w14:textId="77777777" w:rsidR="009F4512" w:rsidRDefault="009F4512" w:rsidP="0025038E">
      <w:pPr>
        <w:spacing w:after="0" w:line="240" w:lineRule="auto"/>
        <w:jc w:val="both"/>
        <w:rPr>
          <w:rFonts w:ascii="Tahoma" w:hAnsi="Tahoma" w:cs="Tahoma"/>
          <w:b/>
          <w:color w:val="000000"/>
        </w:rPr>
      </w:pPr>
    </w:p>
    <w:p w14:paraId="348B5E0B" w14:textId="77777777" w:rsidR="009F4512" w:rsidRDefault="009F4512" w:rsidP="0025038E">
      <w:pPr>
        <w:spacing w:after="0" w:line="240" w:lineRule="auto"/>
        <w:jc w:val="both"/>
        <w:rPr>
          <w:rFonts w:ascii="Tahoma" w:hAnsi="Tahoma" w:cs="Tahoma"/>
          <w:b/>
          <w:color w:val="000000"/>
        </w:rPr>
      </w:pPr>
    </w:p>
    <w:p w14:paraId="61A3A9E1" w14:textId="77777777" w:rsidR="009F4512" w:rsidRDefault="009F4512" w:rsidP="0025038E">
      <w:pPr>
        <w:spacing w:after="0" w:line="240" w:lineRule="auto"/>
        <w:jc w:val="both"/>
        <w:rPr>
          <w:rFonts w:ascii="Tahoma" w:hAnsi="Tahoma" w:cs="Tahoma"/>
          <w:b/>
          <w:color w:val="000000"/>
        </w:rPr>
      </w:pPr>
    </w:p>
    <w:p w14:paraId="5EB90D6E" w14:textId="77777777" w:rsidR="009F4512" w:rsidRDefault="009F4512" w:rsidP="0025038E">
      <w:pPr>
        <w:spacing w:after="0" w:line="240" w:lineRule="auto"/>
        <w:jc w:val="both"/>
        <w:rPr>
          <w:rFonts w:ascii="Tahoma" w:hAnsi="Tahoma" w:cs="Tahoma"/>
          <w:b/>
          <w:color w:val="000000"/>
        </w:rPr>
      </w:pPr>
    </w:p>
    <w:p w14:paraId="7C4515FD" w14:textId="77777777" w:rsidR="009F4512" w:rsidRDefault="009F4512" w:rsidP="0025038E">
      <w:pPr>
        <w:spacing w:after="0" w:line="240" w:lineRule="auto"/>
        <w:jc w:val="both"/>
        <w:rPr>
          <w:rFonts w:ascii="Tahoma" w:hAnsi="Tahoma" w:cs="Tahoma"/>
          <w:b/>
          <w:color w:val="000000"/>
        </w:rPr>
      </w:pPr>
    </w:p>
    <w:p w14:paraId="57DDF6C4" w14:textId="37F45A64" w:rsidR="00B911B4" w:rsidRDefault="00127F22" w:rsidP="000D2AB0">
      <w:pPr>
        <w:spacing w:after="0" w:line="240" w:lineRule="auto"/>
        <w:jc w:val="both"/>
        <w:rPr>
          <w:rFonts w:ascii="Tahoma" w:hAnsi="Tahoma" w:cs="Tahoma"/>
          <w:color w:val="000000"/>
        </w:rPr>
      </w:pPr>
      <w:r w:rsidRPr="000D2AB0">
        <w:rPr>
          <w:rFonts w:ascii="Tahoma" w:hAnsi="Tahoma" w:cs="Tahoma"/>
          <w:b/>
          <w:color w:val="000000"/>
        </w:rPr>
        <w:t xml:space="preserve">Por el contrario, </w:t>
      </w:r>
      <w:r w:rsidR="003E0A24" w:rsidRPr="000D2AB0">
        <w:rPr>
          <w:rFonts w:ascii="Tahoma" w:hAnsi="Tahoma" w:cs="Tahoma"/>
          <w:b/>
          <w:color w:val="000000"/>
        </w:rPr>
        <w:t xml:space="preserve">por regla general, </w:t>
      </w:r>
      <w:r w:rsidR="00816AE0" w:rsidRPr="000D2AB0">
        <w:rPr>
          <w:rFonts w:ascii="Tahoma" w:hAnsi="Tahoma" w:cs="Tahoma"/>
          <w:b/>
          <w:color w:val="000000"/>
          <w:u w:val="single"/>
        </w:rPr>
        <w:t>no se aplica</w:t>
      </w:r>
      <w:r w:rsidRPr="000D2AB0">
        <w:rPr>
          <w:rFonts w:ascii="Tahoma" w:hAnsi="Tahoma" w:cs="Tahoma"/>
          <w:b/>
          <w:color w:val="000000"/>
          <w:u w:val="single"/>
        </w:rPr>
        <w:t>ría</w:t>
      </w:r>
      <w:r w:rsidR="00816AE0" w:rsidRPr="000D2AB0">
        <w:rPr>
          <w:rFonts w:ascii="Tahoma" w:hAnsi="Tahoma" w:cs="Tahoma"/>
          <w:b/>
          <w:color w:val="000000"/>
          <w:u w:val="single"/>
        </w:rPr>
        <w:t xml:space="preserve"> el artículo 20 bis</w:t>
      </w:r>
      <w:r w:rsidR="003E0A24" w:rsidRPr="000D2AB0">
        <w:rPr>
          <w:rFonts w:ascii="Tahoma" w:hAnsi="Tahoma" w:cs="Tahoma"/>
          <w:b/>
          <w:color w:val="000000"/>
        </w:rPr>
        <w:t xml:space="preserve"> y </w:t>
      </w:r>
      <w:r w:rsidR="00816AE0" w:rsidRPr="000D2AB0">
        <w:rPr>
          <w:rFonts w:ascii="Tahoma" w:hAnsi="Tahoma" w:cs="Tahoma"/>
          <w:b/>
          <w:color w:val="000000"/>
        </w:rPr>
        <w:t>no habría ayuda de Estado</w:t>
      </w:r>
      <w:r w:rsidR="00C96441" w:rsidRPr="000D2AB0">
        <w:rPr>
          <w:rFonts w:ascii="Tahoma" w:hAnsi="Tahoma" w:cs="Tahoma"/>
          <w:color w:val="000000"/>
        </w:rPr>
        <w:t>, por ejemplo,</w:t>
      </w:r>
      <w:r w:rsidR="00816AE0" w:rsidRPr="000D2AB0">
        <w:rPr>
          <w:rFonts w:ascii="Tahoma" w:hAnsi="Tahoma" w:cs="Tahoma"/>
          <w:color w:val="000000"/>
        </w:rPr>
        <w:t xml:space="preserve"> </w:t>
      </w:r>
      <w:r w:rsidR="00C96441" w:rsidRPr="000D2AB0">
        <w:rPr>
          <w:rFonts w:ascii="Tahoma" w:hAnsi="Tahoma" w:cs="Tahoma"/>
          <w:color w:val="000000"/>
        </w:rPr>
        <w:t>en las siguientes actuaciones en las que una empresa</w:t>
      </w:r>
      <w:r w:rsidR="00816AE0" w:rsidRPr="000D2AB0">
        <w:rPr>
          <w:rFonts w:ascii="Tahoma" w:hAnsi="Tahoma" w:cs="Tahoma"/>
          <w:color w:val="000000"/>
        </w:rPr>
        <w:t>:</w:t>
      </w:r>
    </w:p>
    <w:p w14:paraId="343C8DDD" w14:textId="77777777" w:rsidR="000D2AB0" w:rsidRPr="000D2AB0" w:rsidRDefault="000D2AB0" w:rsidP="000D2AB0">
      <w:pPr>
        <w:spacing w:after="0" w:line="240" w:lineRule="auto"/>
        <w:jc w:val="both"/>
        <w:rPr>
          <w:rFonts w:ascii="Tahoma" w:hAnsi="Tahoma" w:cs="Tahoma"/>
          <w:color w:val="000000"/>
        </w:rPr>
      </w:pPr>
    </w:p>
    <w:p w14:paraId="046A6535" w14:textId="551DD419" w:rsidR="00B911B4" w:rsidRDefault="009F4512" w:rsidP="0096307D">
      <w:pPr>
        <w:pStyle w:val="Prrafodelista"/>
        <w:ind w:left="0"/>
        <w:jc w:val="both"/>
      </w:pPr>
      <w:r w:rsidRPr="009F4512">
        <w:drawing>
          <wp:inline distT="0" distB="0" distL="0" distR="0" wp14:anchorId="745EA011" wp14:editId="6D2F95F9">
            <wp:extent cx="4772691" cy="2848373"/>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2691" cy="2848373"/>
                    </a:xfrm>
                    <a:prstGeom prst="rect">
                      <a:avLst/>
                    </a:prstGeom>
                  </pic:spPr>
                </pic:pic>
              </a:graphicData>
            </a:graphic>
          </wp:inline>
        </w:drawing>
      </w:r>
      <w:bookmarkStart w:id="0" w:name="_GoBack"/>
      <w:bookmarkEnd w:id="0"/>
    </w:p>
    <w:p w14:paraId="00B9611F" w14:textId="77777777" w:rsidR="00B911B4" w:rsidRDefault="00B911B4" w:rsidP="0096307D">
      <w:pPr>
        <w:pStyle w:val="Prrafodelista"/>
        <w:ind w:left="0"/>
        <w:jc w:val="both"/>
        <w:rPr>
          <w:rStyle w:val="Textoennegrita"/>
          <w:rFonts w:ascii="Tahoma" w:hAnsi="Tahoma"/>
        </w:rPr>
      </w:pPr>
    </w:p>
    <w:p w14:paraId="62CFA4F2" w14:textId="77777777" w:rsidR="00B911B4" w:rsidRDefault="00B911B4" w:rsidP="00C96441"/>
    <w:sectPr w:rsidR="00B911B4">
      <w:headerReference w:type="default" r:id="rId10"/>
      <w:footerReference w:type="default" r:id="rId11"/>
      <w:headerReference w:type="first" r:id="rId12"/>
      <w:footerReference w:type="first" r:id="rId13"/>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C7F1C" w14:textId="77777777" w:rsidR="00554A44" w:rsidRDefault="00816AE0">
      <w:pPr>
        <w:spacing w:after="0" w:line="240" w:lineRule="auto"/>
      </w:pPr>
      <w:r>
        <w:separator/>
      </w:r>
    </w:p>
  </w:endnote>
  <w:endnote w:type="continuationSeparator" w:id="0">
    <w:p w14:paraId="5FF243FD" w14:textId="77777777" w:rsidR="00554A44" w:rsidRDefault="0081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variable"/>
    <w:sig w:usb0="00000001" w:usb1="1001ECEA" w:usb2="00000000" w:usb3="00000000" w:csb0="8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264126"/>
      <w:docPartObj>
        <w:docPartGallery w:val="Page Numbers (Bottom of Page)"/>
        <w:docPartUnique/>
      </w:docPartObj>
    </w:sdtPr>
    <w:sdtEndPr/>
    <w:sdtContent>
      <w:p w14:paraId="4E898D31" w14:textId="77777777" w:rsidR="00B911B4" w:rsidRDefault="00816AE0">
        <w:pPr>
          <w:pStyle w:val="Piedepgina"/>
          <w:jc w:val="center"/>
        </w:pPr>
        <w:r>
          <w:fldChar w:fldCharType="begin"/>
        </w:r>
        <w:r>
          <w:instrText xml:space="preserve"> PAGE </w:instrText>
        </w:r>
        <w:r>
          <w:fldChar w:fldCharType="separate"/>
        </w:r>
        <w:r w:rsidR="009F4512">
          <w:rPr>
            <w:noProof/>
          </w:rPr>
          <w:t>5</w:t>
        </w:r>
        <w:r>
          <w:fldChar w:fldCharType="end"/>
        </w:r>
      </w:p>
    </w:sdtContent>
  </w:sdt>
  <w:p w14:paraId="0DFA6C5E" w14:textId="41396975" w:rsidR="00B911B4" w:rsidRDefault="00C96441">
    <w:pPr>
      <w:pStyle w:val="Piedepgina"/>
    </w:pPr>
    <w:r>
      <w:rPr>
        <w:highlight w:val="green"/>
      </w:rPr>
      <w:t>Versión</w:t>
    </w:r>
    <w:r w:rsidR="00137035">
      <w:rPr>
        <w:highlight w:val="green"/>
      </w:rPr>
      <w:t xml:space="preserve"> Jul</w:t>
    </w:r>
    <w:r w:rsidR="00816AE0">
      <w:rPr>
        <w:highlight w:val="green"/>
      </w:rPr>
      <w:t>io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533543"/>
      <w:docPartObj>
        <w:docPartGallery w:val="Page Numbers (Bottom of Page)"/>
        <w:docPartUnique/>
      </w:docPartObj>
    </w:sdtPr>
    <w:sdtEndPr/>
    <w:sdtContent>
      <w:p w14:paraId="1ACC1218" w14:textId="77777777" w:rsidR="00B911B4" w:rsidRDefault="00816AE0">
        <w:pPr>
          <w:pStyle w:val="Piedepgina"/>
          <w:jc w:val="center"/>
        </w:pPr>
        <w:r>
          <w:fldChar w:fldCharType="begin"/>
        </w:r>
        <w:r>
          <w:instrText xml:space="preserve"> PAGE </w:instrText>
        </w:r>
        <w:r>
          <w:fldChar w:fldCharType="separate"/>
        </w:r>
        <w:r>
          <w:t>5</w:t>
        </w:r>
        <w:r>
          <w:fldChar w:fldCharType="end"/>
        </w:r>
      </w:p>
    </w:sdtContent>
  </w:sdt>
  <w:p w14:paraId="21DEDAEB" w14:textId="77777777" w:rsidR="00B911B4" w:rsidRDefault="00816AE0">
    <w:pPr>
      <w:pStyle w:val="Piedepgina"/>
    </w:pPr>
    <w:r>
      <w:rPr>
        <w:highlight w:val="green"/>
      </w:rPr>
      <w:t>Version 6 Junio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DF8B3" w14:textId="77777777" w:rsidR="00554A44" w:rsidRDefault="00816AE0">
      <w:pPr>
        <w:spacing w:after="0" w:line="240" w:lineRule="auto"/>
      </w:pPr>
      <w:r>
        <w:separator/>
      </w:r>
    </w:p>
  </w:footnote>
  <w:footnote w:type="continuationSeparator" w:id="0">
    <w:p w14:paraId="655078FD" w14:textId="77777777" w:rsidR="00554A44" w:rsidRDefault="00816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Ind w:w="108" w:type="dxa"/>
      <w:tblLayout w:type="fixed"/>
      <w:tblLook w:val="04A0" w:firstRow="1" w:lastRow="0" w:firstColumn="1" w:lastColumn="0" w:noHBand="0" w:noVBand="1"/>
    </w:tblPr>
    <w:tblGrid>
      <w:gridCol w:w="3870"/>
      <w:gridCol w:w="4634"/>
    </w:tblGrid>
    <w:tr w:rsidR="00B911B4" w14:paraId="57010C85" w14:textId="77777777">
      <w:tc>
        <w:tcPr>
          <w:tcW w:w="3870" w:type="dxa"/>
          <w:tcBorders>
            <w:top w:val="nil"/>
            <w:left w:val="nil"/>
            <w:bottom w:val="nil"/>
            <w:right w:val="nil"/>
          </w:tcBorders>
          <w:vAlign w:val="center"/>
        </w:tcPr>
        <w:p w14:paraId="37675950" w14:textId="77777777" w:rsidR="00B911B4" w:rsidRDefault="00816AE0">
          <w:pPr>
            <w:tabs>
              <w:tab w:val="left" w:pos="2977"/>
            </w:tabs>
            <w:spacing w:after="0" w:line="240" w:lineRule="auto"/>
            <w:rPr>
              <w:rFonts w:ascii="Times New Roman" w:eastAsia="Times New Roman" w:hAnsi="Times New Roman" w:cs="Times New Roman"/>
            </w:rPr>
          </w:pPr>
          <w:r>
            <w:rPr>
              <w:noProof/>
              <w:lang w:eastAsia="es-ES"/>
            </w:rPr>
            <w:drawing>
              <wp:inline distT="0" distB="0" distL="0" distR="0" wp14:anchorId="49DC375A" wp14:editId="20444BC4">
                <wp:extent cx="2333625" cy="502285"/>
                <wp:effectExtent l="0" t="0" r="0" b="0"/>
                <wp:docPr id="1"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668" descr="Imagen que contiene Texto&#10;&#10;Descripción generada automáticamente"/>
                        <pic:cNvPicPr>
                          <a:picLocks noChangeAspect="1" noChangeArrowheads="1"/>
                        </pic:cNvPicPr>
                      </pic:nvPicPr>
                      <pic:blipFill>
                        <a:blip r:embed="rId1"/>
                        <a:stretch>
                          <a:fillRect/>
                        </a:stretch>
                      </pic:blipFill>
                      <pic:spPr bwMode="auto">
                        <a:xfrm>
                          <a:off x="0" y="0"/>
                          <a:ext cx="2333625" cy="502285"/>
                        </a:xfrm>
                        <a:prstGeom prst="rect">
                          <a:avLst/>
                        </a:prstGeom>
                        <a:noFill/>
                      </pic:spPr>
                    </pic:pic>
                  </a:graphicData>
                </a:graphic>
              </wp:inline>
            </w:drawing>
          </w:r>
        </w:p>
      </w:tc>
      <w:tc>
        <w:tcPr>
          <w:tcW w:w="4634" w:type="dxa"/>
          <w:tcBorders>
            <w:top w:val="nil"/>
            <w:left w:val="nil"/>
            <w:bottom w:val="nil"/>
            <w:right w:val="nil"/>
          </w:tcBorders>
        </w:tcPr>
        <w:p w14:paraId="12DA2D1A" w14:textId="77777777" w:rsidR="00B911B4" w:rsidRDefault="00816AE0">
          <w:pPr>
            <w:tabs>
              <w:tab w:val="left" w:pos="192"/>
              <w:tab w:val="left" w:pos="2977"/>
              <w:tab w:val="right" w:pos="429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noProof/>
              <w:lang w:eastAsia="es-ES"/>
            </w:rPr>
            <w:drawing>
              <wp:inline distT="0" distB="0" distL="0" distR="0" wp14:anchorId="771B7065" wp14:editId="72B3DCDB">
                <wp:extent cx="1956435" cy="591185"/>
                <wp:effectExtent l="0" t="0" r="0" b="0"/>
                <wp:docPr id="2"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669"/>
                        <pic:cNvPicPr>
                          <a:picLocks noChangeAspect="1" noChangeArrowheads="1"/>
                        </pic:cNvPicPr>
                      </pic:nvPicPr>
                      <pic:blipFill>
                        <a:blip r:embed="rId2"/>
                        <a:stretch>
                          <a:fillRect/>
                        </a:stretch>
                      </pic:blipFill>
                      <pic:spPr bwMode="auto">
                        <a:xfrm>
                          <a:off x="0" y="0"/>
                          <a:ext cx="1956435" cy="591185"/>
                        </a:xfrm>
                        <a:prstGeom prst="rect">
                          <a:avLst/>
                        </a:prstGeom>
                        <a:noFill/>
                      </pic:spPr>
                    </pic:pic>
                  </a:graphicData>
                </a:graphic>
              </wp:inline>
            </w:drawing>
          </w:r>
        </w:p>
      </w:tc>
    </w:tr>
  </w:tbl>
  <w:p w14:paraId="5E4A2E7E" w14:textId="77777777" w:rsidR="00B911B4" w:rsidRDefault="00B911B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Ind w:w="108" w:type="dxa"/>
      <w:tblLayout w:type="fixed"/>
      <w:tblLook w:val="04A0" w:firstRow="1" w:lastRow="0" w:firstColumn="1" w:lastColumn="0" w:noHBand="0" w:noVBand="1"/>
    </w:tblPr>
    <w:tblGrid>
      <w:gridCol w:w="3870"/>
      <w:gridCol w:w="4634"/>
    </w:tblGrid>
    <w:tr w:rsidR="00B911B4" w14:paraId="69A0B413" w14:textId="77777777">
      <w:tc>
        <w:tcPr>
          <w:tcW w:w="3870" w:type="dxa"/>
          <w:tcBorders>
            <w:top w:val="nil"/>
            <w:left w:val="nil"/>
            <w:bottom w:val="nil"/>
            <w:right w:val="nil"/>
          </w:tcBorders>
          <w:vAlign w:val="center"/>
        </w:tcPr>
        <w:p w14:paraId="5CDCDF20" w14:textId="77777777" w:rsidR="00B911B4" w:rsidRDefault="00816AE0">
          <w:pPr>
            <w:tabs>
              <w:tab w:val="left" w:pos="2977"/>
            </w:tabs>
            <w:spacing w:after="0" w:line="240" w:lineRule="auto"/>
            <w:rPr>
              <w:rFonts w:ascii="Times New Roman" w:eastAsia="Times New Roman" w:hAnsi="Times New Roman" w:cs="Times New Roman"/>
            </w:rPr>
          </w:pPr>
          <w:r>
            <w:rPr>
              <w:noProof/>
              <w:lang w:eastAsia="es-ES"/>
            </w:rPr>
            <w:drawing>
              <wp:inline distT="0" distB="0" distL="0" distR="0" wp14:anchorId="792CBBA9" wp14:editId="44283735">
                <wp:extent cx="2333625" cy="502285"/>
                <wp:effectExtent l="0" t="0" r="0" b="0"/>
                <wp:docPr id="3"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668" descr="Imagen que contiene Texto&#10;&#10;Descripción generada automáticamente"/>
                        <pic:cNvPicPr>
                          <a:picLocks noChangeAspect="1" noChangeArrowheads="1"/>
                        </pic:cNvPicPr>
                      </pic:nvPicPr>
                      <pic:blipFill>
                        <a:blip r:embed="rId1"/>
                        <a:stretch>
                          <a:fillRect/>
                        </a:stretch>
                      </pic:blipFill>
                      <pic:spPr bwMode="auto">
                        <a:xfrm>
                          <a:off x="0" y="0"/>
                          <a:ext cx="2333625" cy="502285"/>
                        </a:xfrm>
                        <a:prstGeom prst="rect">
                          <a:avLst/>
                        </a:prstGeom>
                        <a:noFill/>
                      </pic:spPr>
                    </pic:pic>
                  </a:graphicData>
                </a:graphic>
              </wp:inline>
            </w:drawing>
          </w:r>
        </w:p>
      </w:tc>
      <w:tc>
        <w:tcPr>
          <w:tcW w:w="4634" w:type="dxa"/>
          <w:tcBorders>
            <w:top w:val="nil"/>
            <w:left w:val="nil"/>
            <w:bottom w:val="nil"/>
            <w:right w:val="nil"/>
          </w:tcBorders>
        </w:tcPr>
        <w:p w14:paraId="2068A578" w14:textId="77777777" w:rsidR="00B911B4" w:rsidRDefault="00816AE0">
          <w:pPr>
            <w:tabs>
              <w:tab w:val="left" w:pos="192"/>
              <w:tab w:val="left" w:pos="2977"/>
              <w:tab w:val="right" w:pos="429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noProof/>
              <w:lang w:eastAsia="es-ES"/>
            </w:rPr>
            <w:drawing>
              <wp:inline distT="0" distB="0" distL="0" distR="0" wp14:anchorId="55DACCFC" wp14:editId="45F6CC7E">
                <wp:extent cx="1956435" cy="591185"/>
                <wp:effectExtent l="0" t="0" r="0" b="0"/>
                <wp:docPr id="4"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669"/>
                        <pic:cNvPicPr>
                          <a:picLocks noChangeAspect="1" noChangeArrowheads="1"/>
                        </pic:cNvPicPr>
                      </pic:nvPicPr>
                      <pic:blipFill>
                        <a:blip r:embed="rId2"/>
                        <a:stretch>
                          <a:fillRect/>
                        </a:stretch>
                      </pic:blipFill>
                      <pic:spPr bwMode="auto">
                        <a:xfrm>
                          <a:off x="0" y="0"/>
                          <a:ext cx="1956435" cy="591185"/>
                        </a:xfrm>
                        <a:prstGeom prst="rect">
                          <a:avLst/>
                        </a:prstGeom>
                        <a:noFill/>
                      </pic:spPr>
                    </pic:pic>
                  </a:graphicData>
                </a:graphic>
              </wp:inline>
            </w:drawing>
          </w:r>
        </w:p>
      </w:tc>
    </w:tr>
  </w:tbl>
  <w:p w14:paraId="552921AE" w14:textId="77777777" w:rsidR="00B911B4" w:rsidRDefault="00B911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B1946"/>
    <w:multiLevelType w:val="multilevel"/>
    <w:tmpl w:val="9A6A59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F93918"/>
    <w:multiLevelType w:val="multilevel"/>
    <w:tmpl w:val="0100DEB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49FA50E6"/>
    <w:multiLevelType w:val="multilevel"/>
    <w:tmpl w:val="8C56405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427371"/>
    <w:multiLevelType w:val="hybridMultilevel"/>
    <w:tmpl w:val="28D6F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065D9C"/>
    <w:multiLevelType w:val="multilevel"/>
    <w:tmpl w:val="0C965012"/>
    <w:lvl w:ilvl="0">
      <w:start w:val="1"/>
      <w:numFmt w:val="decimal"/>
      <w:lvlText w:val="%1."/>
      <w:lvlJc w:val="left"/>
      <w:pPr>
        <w:tabs>
          <w:tab w:val="num" w:pos="709"/>
        </w:tabs>
        <w:ind w:left="709" w:hanging="283"/>
      </w:pPr>
      <w:rPr>
        <w:rFonts w:ascii="Tahoma" w:hAnsi="Tahoma" w:cs="Tahoma"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57E82B96"/>
    <w:multiLevelType w:val="hybridMultilevel"/>
    <w:tmpl w:val="A3322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D4F5B32"/>
    <w:multiLevelType w:val="multilevel"/>
    <w:tmpl w:val="8C564052"/>
    <w:lvl w:ilvl="0">
      <w:start w:val="1"/>
      <w:numFmt w:val="decimal"/>
      <w:lvlText w:val="%1."/>
      <w:lvlJc w:val="left"/>
      <w:pPr>
        <w:tabs>
          <w:tab w:val="num" w:pos="-360"/>
        </w:tabs>
        <w:ind w:left="360" w:hanging="360"/>
      </w:pPr>
      <w:rPr>
        <w:b/>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7" w15:restartNumberingAfterBreak="0">
    <w:nsid w:val="6F2D6DDD"/>
    <w:multiLevelType w:val="multilevel"/>
    <w:tmpl w:val="2F704E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858242D"/>
    <w:multiLevelType w:val="hybridMultilevel"/>
    <w:tmpl w:val="21A4F9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1B4"/>
    <w:rsid w:val="000D2AB0"/>
    <w:rsid w:val="0010127C"/>
    <w:rsid w:val="00127F22"/>
    <w:rsid w:val="00137035"/>
    <w:rsid w:val="0025038E"/>
    <w:rsid w:val="002610FA"/>
    <w:rsid w:val="002F3B19"/>
    <w:rsid w:val="003A3B5F"/>
    <w:rsid w:val="003E0A24"/>
    <w:rsid w:val="00554A44"/>
    <w:rsid w:val="00620F3E"/>
    <w:rsid w:val="00622E60"/>
    <w:rsid w:val="006D00F2"/>
    <w:rsid w:val="00816AE0"/>
    <w:rsid w:val="00847CF2"/>
    <w:rsid w:val="0096307D"/>
    <w:rsid w:val="009C4BA6"/>
    <w:rsid w:val="009F4512"/>
    <w:rsid w:val="00A01170"/>
    <w:rsid w:val="00B911B4"/>
    <w:rsid w:val="00C609B4"/>
    <w:rsid w:val="00C96441"/>
    <w:rsid w:val="00CD6B01"/>
    <w:rsid w:val="00EF047F"/>
    <w:rsid w:val="00FE04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AACBA"/>
  <w15:docId w15:val="{560EA742-175D-462F-9819-B4850314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3">
    <w:name w:val="heading 3"/>
    <w:basedOn w:val="Ttulouser"/>
    <w:next w:val="Textoindependiente"/>
    <w:qFormat/>
    <w:pPr>
      <w:spacing w:before="140"/>
      <w:outlineLvl w:val="2"/>
    </w:pPr>
    <w:rPr>
      <w:rFonts w:ascii="Liberation Serif" w:eastAsia="Segoe UI" w:hAnsi="Liberation Serif"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61057"/>
  </w:style>
  <w:style w:type="character" w:customStyle="1" w:styleId="PiedepginaCar">
    <w:name w:val="Pie de página Car"/>
    <w:basedOn w:val="Fuentedeprrafopredeter"/>
    <w:link w:val="Piedepgina"/>
    <w:uiPriority w:val="99"/>
    <w:qFormat/>
    <w:rsid w:val="00461057"/>
  </w:style>
  <w:style w:type="character" w:styleId="Hipervnculo">
    <w:name w:val="Hyperlink"/>
    <w:basedOn w:val="Fuentedeprrafopredeter"/>
    <w:uiPriority w:val="99"/>
    <w:unhideWhenUsed/>
    <w:rsid w:val="00871ED7"/>
    <w:rPr>
      <w:color w:val="0563C1" w:themeColor="hyperlink"/>
      <w:u w:val="single"/>
    </w:rPr>
  </w:style>
  <w:style w:type="character" w:styleId="Hipervnculovisitado">
    <w:name w:val="FollowedHyperlink"/>
    <w:basedOn w:val="Fuentedeprrafopredeter"/>
    <w:uiPriority w:val="99"/>
    <w:semiHidden/>
    <w:unhideWhenUsed/>
    <w:rsid w:val="00871ED7"/>
    <w:rPr>
      <w:color w:val="954F72" w:themeColor="followedHyperlink"/>
      <w:u w:val="single"/>
    </w:rPr>
  </w:style>
  <w:style w:type="character" w:customStyle="1" w:styleId="Bolosuser">
    <w:name w:val="Bolos (user)"/>
    <w:qFormat/>
    <w:rPr>
      <w:rFonts w:ascii="OpenSymbol" w:eastAsia="OpenSymbol" w:hAnsi="OpenSymbol" w:cs="OpenSymbol"/>
    </w:rPr>
  </w:style>
  <w:style w:type="character" w:styleId="Textoennegrita">
    <w:name w:val="Strong"/>
    <w:uiPriority w:val="22"/>
    <w:qFormat/>
    <w:rPr>
      <w:b/>
      <w:bCs/>
    </w:rPr>
  </w:style>
  <w:style w:type="character" w:styleId="Refdecomentario">
    <w:name w:val="annotation reference"/>
    <w:basedOn w:val="Fuentedeprrafopredeter"/>
    <w:uiPriority w:val="99"/>
    <w:semiHidden/>
    <w:unhideWhenUsed/>
    <w:qFormat/>
    <w:rsid w:val="00972DAD"/>
    <w:rPr>
      <w:sz w:val="16"/>
      <w:szCs w:val="16"/>
    </w:rPr>
  </w:style>
  <w:style w:type="character" w:customStyle="1" w:styleId="TextocomentarioCar">
    <w:name w:val="Texto comentario Car"/>
    <w:basedOn w:val="Fuentedeprrafopredeter"/>
    <w:link w:val="Textocomentario"/>
    <w:uiPriority w:val="99"/>
    <w:qFormat/>
    <w:rsid w:val="00972DAD"/>
    <w:rPr>
      <w:sz w:val="20"/>
      <w:szCs w:val="20"/>
    </w:rPr>
  </w:style>
  <w:style w:type="character" w:customStyle="1" w:styleId="AsuntodelcomentarioCar">
    <w:name w:val="Asunto del comentario Car"/>
    <w:basedOn w:val="TextocomentarioCar"/>
    <w:link w:val="Asuntodelcomentario"/>
    <w:uiPriority w:val="99"/>
    <w:semiHidden/>
    <w:qFormat/>
    <w:rsid w:val="00972DAD"/>
    <w:rPr>
      <w:b/>
      <w:bCs/>
      <w:sz w:val="20"/>
      <w:szCs w:val="20"/>
    </w:rPr>
  </w:style>
  <w:style w:type="character" w:customStyle="1" w:styleId="TextodegloboCar">
    <w:name w:val="Texto de globo Car"/>
    <w:basedOn w:val="Fuentedeprrafopredeter"/>
    <w:link w:val="Textodeglobo"/>
    <w:uiPriority w:val="99"/>
    <w:semiHidden/>
    <w:qFormat/>
    <w:rsid w:val="00972DAD"/>
    <w:rPr>
      <w:rFonts w:ascii="Segoe UI" w:hAnsi="Segoe UI" w:cs="Segoe UI"/>
      <w:sz w:val="18"/>
      <w:szCs w:val="18"/>
    </w:rPr>
  </w:style>
  <w:style w:type="character" w:styleId="nfasis">
    <w:name w:val="Emphasis"/>
    <w:uiPriority w:val="20"/>
    <w:qFormat/>
    <w:rPr>
      <w:i/>
      <w:iCs/>
    </w:rPr>
  </w:style>
  <w:style w:type="character" w:customStyle="1" w:styleId="Smbolosdenumeracinuser">
    <w:name w:val="Símbolos de numeración (user)"/>
    <w:qFormat/>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Default">
    <w:name w:val="Default"/>
    <w:qFormat/>
    <w:rsid w:val="00461057"/>
    <w:rPr>
      <w:rFonts w:ascii="Tahoma" w:eastAsia="Calibri" w:hAnsi="Tahoma" w:cs="Tahoma"/>
      <w:color w:val="000000"/>
      <w:sz w:val="24"/>
      <w:szCs w:val="24"/>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461057"/>
    <w:pPr>
      <w:tabs>
        <w:tab w:val="center" w:pos="4252"/>
        <w:tab w:val="right" w:pos="8504"/>
      </w:tabs>
      <w:spacing w:after="0" w:line="240" w:lineRule="auto"/>
    </w:pPr>
  </w:style>
  <w:style w:type="paragraph" w:styleId="Piedepgina">
    <w:name w:val="footer"/>
    <w:basedOn w:val="Normal"/>
    <w:link w:val="PiedepginaCar"/>
    <w:uiPriority w:val="99"/>
    <w:unhideWhenUsed/>
    <w:rsid w:val="00461057"/>
    <w:pPr>
      <w:tabs>
        <w:tab w:val="center" w:pos="4252"/>
        <w:tab w:val="right" w:pos="8504"/>
      </w:tabs>
      <w:spacing w:after="0" w:line="240" w:lineRule="auto"/>
    </w:pPr>
  </w:style>
  <w:style w:type="paragraph" w:styleId="Prrafodelista">
    <w:name w:val="List Paragraph"/>
    <w:basedOn w:val="Normal"/>
    <w:uiPriority w:val="34"/>
    <w:qFormat/>
    <w:rsid w:val="006032D3"/>
    <w:pPr>
      <w:ind w:left="720"/>
      <w:contextualSpacing/>
    </w:pPr>
  </w:style>
  <w:style w:type="paragraph" w:customStyle="1" w:styleId="Textoindependiente22">
    <w:name w:val="Texto independiente 22"/>
    <w:basedOn w:val="Normal"/>
    <w:qFormat/>
    <w:rsid w:val="004E18A5"/>
    <w:pPr>
      <w:spacing w:after="0" w:line="240" w:lineRule="auto"/>
      <w:jc w:val="both"/>
    </w:pPr>
    <w:rPr>
      <w:rFonts w:ascii="Arial Narrow" w:eastAsia="Times New Roman" w:hAnsi="Arial Narrow" w:cs="Arial Narrow"/>
      <w:sz w:val="24"/>
      <w:szCs w:val="20"/>
      <w:lang w:eastAsia="es-ES_tradnl"/>
    </w:rPr>
  </w:style>
  <w:style w:type="paragraph" w:styleId="Textocomentario">
    <w:name w:val="annotation text"/>
    <w:basedOn w:val="Normal"/>
    <w:link w:val="TextocomentarioCar"/>
    <w:uiPriority w:val="99"/>
    <w:unhideWhenUsed/>
    <w:rsid w:val="00972D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972DAD"/>
    <w:rPr>
      <w:b/>
      <w:bCs/>
    </w:rPr>
  </w:style>
  <w:style w:type="paragraph" w:styleId="Textodeglobo">
    <w:name w:val="Balloon Text"/>
    <w:basedOn w:val="Normal"/>
    <w:link w:val="TextodegloboCar"/>
    <w:uiPriority w:val="99"/>
    <w:semiHidden/>
    <w:unhideWhenUsed/>
    <w:qFormat/>
    <w:rsid w:val="00972DAD"/>
    <w:pPr>
      <w:spacing w:after="0" w:line="240" w:lineRule="auto"/>
    </w:pPr>
    <w:rPr>
      <w:rFonts w:ascii="Segoe UI" w:hAnsi="Segoe UI" w:cs="Segoe UI"/>
      <w:sz w:val="18"/>
      <w:szCs w:val="18"/>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rsid w:val="00461057"/>
    <w:pPr>
      <w:spacing w:before="180" w:after="180"/>
      <w:jc w:val="both"/>
    </w:pPr>
    <w:rPr>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3509">
      <w:bodyDiv w:val="1"/>
      <w:marLeft w:val="0"/>
      <w:marRight w:val="0"/>
      <w:marTop w:val="0"/>
      <w:marBottom w:val="0"/>
      <w:divBdr>
        <w:top w:val="none" w:sz="0" w:space="0" w:color="auto"/>
        <w:left w:val="none" w:sz="0" w:space="0" w:color="auto"/>
        <w:bottom w:val="none" w:sz="0" w:space="0" w:color="auto"/>
        <w:right w:val="none" w:sz="0" w:space="0" w:color="auto"/>
      </w:divBdr>
      <w:divsChild>
        <w:div w:id="647200650">
          <w:marLeft w:val="0"/>
          <w:marRight w:val="0"/>
          <w:marTop w:val="0"/>
          <w:marBottom w:val="0"/>
          <w:divBdr>
            <w:top w:val="none" w:sz="0" w:space="0" w:color="auto"/>
            <w:left w:val="none" w:sz="0" w:space="0" w:color="auto"/>
            <w:bottom w:val="none" w:sz="0" w:space="0" w:color="auto"/>
            <w:right w:val="none" w:sz="0" w:space="0" w:color="auto"/>
          </w:divBdr>
        </w:div>
        <w:div w:id="1872768205">
          <w:marLeft w:val="0"/>
          <w:marRight w:val="0"/>
          <w:marTop w:val="0"/>
          <w:marBottom w:val="0"/>
          <w:divBdr>
            <w:top w:val="none" w:sz="0" w:space="0" w:color="auto"/>
            <w:left w:val="none" w:sz="0" w:space="0" w:color="auto"/>
            <w:bottom w:val="none" w:sz="0" w:space="0" w:color="auto"/>
            <w:right w:val="none" w:sz="0" w:space="0" w:color="auto"/>
          </w:divBdr>
        </w:div>
        <w:div w:id="1445996625">
          <w:marLeft w:val="0"/>
          <w:marRight w:val="0"/>
          <w:marTop w:val="0"/>
          <w:marBottom w:val="0"/>
          <w:divBdr>
            <w:top w:val="none" w:sz="0" w:space="0" w:color="auto"/>
            <w:left w:val="none" w:sz="0" w:space="0" w:color="auto"/>
            <w:bottom w:val="none" w:sz="0" w:space="0" w:color="auto"/>
            <w:right w:val="none" w:sz="0" w:space="0" w:color="auto"/>
          </w:divBdr>
        </w:div>
        <w:div w:id="1164930659">
          <w:marLeft w:val="0"/>
          <w:marRight w:val="0"/>
          <w:marTop w:val="0"/>
          <w:marBottom w:val="0"/>
          <w:divBdr>
            <w:top w:val="none" w:sz="0" w:space="0" w:color="auto"/>
            <w:left w:val="none" w:sz="0" w:space="0" w:color="auto"/>
            <w:bottom w:val="none" w:sz="0" w:space="0" w:color="auto"/>
            <w:right w:val="none" w:sz="0" w:space="0" w:color="auto"/>
          </w:divBdr>
        </w:div>
        <w:div w:id="1736858445">
          <w:marLeft w:val="0"/>
          <w:marRight w:val="0"/>
          <w:marTop w:val="0"/>
          <w:marBottom w:val="0"/>
          <w:divBdr>
            <w:top w:val="none" w:sz="0" w:space="0" w:color="auto"/>
            <w:left w:val="none" w:sz="0" w:space="0" w:color="auto"/>
            <w:bottom w:val="none" w:sz="0" w:space="0" w:color="auto"/>
            <w:right w:val="none" w:sz="0" w:space="0" w:color="auto"/>
          </w:divBdr>
        </w:div>
        <w:div w:id="923417852">
          <w:marLeft w:val="0"/>
          <w:marRight w:val="0"/>
          <w:marTop w:val="0"/>
          <w:marBottom w:val="0"/>
          <w:divBdr>
            <w:top w:val="none" w:sz="0" w:space="0" w:color="auto"/>
            <w:left w:val="none" w:sz="0" w:space="0" w:color="auto"/>
            <w:bottom w:val="none" w:sz="0" w:space="0" w:color="auto"/>
            <w:right w:val="none" w:sz="0" w:space="0" w:color="auto"/>
          </w:divBdr>
        </w:div>
        <w:div w:id="876355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5</Pages>
  <Words>866</Words>
  <Characters>4769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HACIENDA</Company>
  <LinksUpToDate>false</LinksUpToDate>
  <CharactersWithSpaces>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dc:description/>
  <cp:lastModifiedBy>Secretaría Conjunta</cp:lastModifiedBy>
  <cp:revision>62</cp:revision>
  <dcterms:created xsi:type="dcterms:W3CDTF">2026-06-05T12:40:00Z</dcterms:created>
  <dcterms:modified xsi:type="dcterms:W3CDTF">2026-07-29T10:39:00Z</dcterms:modified>
  <dc:language>es-ES</dc:language>
</cp:coreProperties>
</file>