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4C290" w14:textId="77777777" w:rsidR="008523EB" w:rsidRDefault="00E4765A">
      <w:pPr>
        <w:tabs>
          <w:tab w:val="left" w:pos="7128"/>
        </w:tabs>
        <w:spacing w:before="120" w:after="120"/>
        <w:jc w:val="center"/>
        <w:rPr>
          <w:rFonts w:asciiTheme="majorHAnsi" w:eastAsia="Arial Unicode MS" w:hAnsiTheme="majorHAnsi" w:cstheme="majorHAnsi"/>
          <w:b/>
          <w:color w:val="2D3090"/>
          <w:sz w:val="24"/>
          <w:szCs w:val="24"/>
          <w:lang w:eastAsia="zh-CN"/>
        </w:rPr>
      </w:pPr>
      <w:r>
        <w:rPr>
          <w:noProof/>
        </w:rPr>
        <mc:AlternateContent>
          <mc:Choice Requires="wpg">
            <w:drawing>
              <wp:anchor distT="0" distB="0" distL="114300" distR="114300" simplePos="0" relativeHeight="32" behindDoc="0" locked="0" layoutInCell="0" allowOverlap="1" wp14:anchorId="10A7F4D9" wp14:editId="1668D066">
                <wp:simplePos x="0" y="0"/>
                <wp:positionH relativeFrom="page">
                  <wp:posOffset>593725</wp:posOffset>
                </wp:positionH>
                <wp:positionV relativeFrom="page">
                  <wp:posOffset>569595</wp:posOffset>
                </wp:positionV>
                <wp:extent cx="237490" cy="9678035"/>
                <wp:effectExtent l="0" t="0" r="0" b="0"/>
                <wp:wrapSquare wrapText="bothSides"/>
                <wp:docPr id="1" name="Grupo 114"/>
                <wp:cNvGraphicFramePr/>
                <a:graphic xmlns:a="http://schemas.openxmlformats.org/drawingml/2006/main">
                  <a:graphicData uri="http://schemas.microsoft.com/office/word/2010/wordprocessingGroup">
                    <wpg:wgp>
                      <wpg:cNvGrpSpPr/>
                      <wpg:grpSpPr>
                        <a:xfrm>
                          <a:off x="0" y="0"/>
                          <a:ext cx="237600" cy="9677880"/>
                          <a:chOff x="0" y="0"/>
                          <a:chExt cx="237600" cy="9677880"/>
                        </a:xfrm>
                      </wpg:grpSpPr>
                      <wps:wsp>
                        <wps:cNvPr id="2" name="Rectángulo 115"/>
                        <wps:cNvSpPr/>
                        <wps:spPr>
                          <a:xfrm>
                            <a:off x="0" y="0"/>
                            <a:ext cx="237600" cy="933084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wps:style>
                        <wps:bodyPr/>
                      </wps:wsp>
                      <wps:wsp>
                        <wps:cNvPr id="3" name="Rectángulo 116"/>
                        <wps:cNvSpPr/>
                        <wps:spPr>
                          <a:xfrm>
                            <a:off x="0" y="9435960"/>
                            <a:ext cx="237600" cy="24192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wps:style>
                        <wps:bodyPr/>
                      </wps:wsp>
                    </wpg:wgp>
                  </a:graphicData>
                </a:graphic>
              </wp:anchor>
            </w:drawing>
          </mc:Choice>
          <mc:Fallback xmlns:pic="http://schemas.openxmlformats.org/drawingml/2006/pictur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shape_0" alt="Grupo 114" style="position:absolute;margin-left:46.75pt;margin-top:44.85pt;width:18.7pt;height:762.05pt" coordorigin="935,897" coordsize="374,15241">
                <v:rect id="shape_0" fillcolor="#ffd966" stroked="f" o:allowincell="f" style="position:absolute;left:935;top:897;width:373;height:14693;mso-wrap-style:none;v-text-anchor:middle;mso-position-horizontal-relative:page;mso-position-vertical-relative:page">
                  <v:fill o:detectmouseclick="t" type="solid" color2="#002699"/>
                  <v:stroke color="#3465a4" weight="12600" joinstyle="miter" endcap="flat"/>
                  <w10:wrap type="square"/>
                </v:rect>
                <v:rect id="shape_0" fillcolor="#4472c4" stroked="f" o:allowincell="f" style="position:absolute;left:935;top:15757;width:373;height:380;mso-wrap-style:none;v-text-anchor:middle;mso-position-horizontal-relative:page;mso-position-vertical-relative:page">
                  <v:fill o:detectmouseclick="t" type="solid" color2="#bb8d3b"/>
                  <v:stroke color="#3465a4" weight="12600" joinstyle="miter" endcap="flat"/>
                  <w10:wrap type="square"/>
                </v:rect>
              </v:group>
            </w:pict>
          </mc:Fallback>
        </mc:AlternateContent>
      </w:r>
      <w:r>
        <w:rPr>
          <w:noProof/>
        </w:rPr>
        <w:drawing>
          <wp:inline distT="0" distB="0" distL="0" distR="0" wp14:anchorId="4E0F88EF" wp14:editId="45051549">
            <wp:extent cx="2828925" cy="859790"/>
            <wp:effectExtent l="0" t="0" r="0" b="0"/>
            <wp:docPr id="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0"/>
                    <pic:cNvPicPr>
                      <a:picLocks noChangeAspect="1" noChangeArrowheads="1"/>
                    </pic:cNvPicPr>
                  </pic:nvPicPr>
                  <pic:blipFill>
                    <a:blip r:embed="rId8"/>
                    <a:stretch>
                      <a:fillRect/>
                    </a:stretch>
                  </pic:blipFill>
                  <pic:spPr bwMode="auto">
                    <a:xfrm>
                      <a:off x="0" y="0"/>
                      <a:ext cx="2828925" cy="859790"/>
                    </a:xfrm>
                    <a:prstGeom prst="rect">
                      <a:avLst/>
                    </a:prstGeom>
                    <a:noFill/>
                  </pic:spPr>
                </pic:pic>
              </a:graphicData>
            </a:graphic>
          </wp:inline>
        </w:drawing>
      </w:r>
    </w:p>
    <w:p w14:paraId="36D8F4AA"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3C2EFC3E"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718FB23C"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30B58E3A"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401E063C"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5AE20A5B"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2CB427BE" w14:textId="77777777" w:rsidR="008523EB" w:rsidRDefault="00E4765A">
      <w:pPr>
        <w:spacing w:before="120" w:after="120"/>
        <w:jc w:val="center"/>
        <w:rPr>
          <w:rFonts w:ascii="Tahoma" w:hAnsi="Tahoma" w:cs="Tahoma"/>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ahoma" w:hAnsi="Tahoma" w:cs="Tahoma"/>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NORMAS DE SUBVENCIONABILIDAD DE LOS GASTOS</w:t>
      </w:r>
    </w:p>
    <w:p w14:paraId="16655FF8" w14:textId="77777777" w:rsidR="008523EB" w:rsidRDefault="00E4765A">
      <w:pPr>
        <w:spacing w:before="120" w:after="120"/>
        <w:jc w:val="center"/>
        <w:rPr>
          <w:rFonts w:ascii="Tahoma" w:hAnsi="Tahoma" w:cs="Tahoma"/>
          <w:b/>
          <w:outline/>
          <w:color w:val="4472C4"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rFonts w:ascii="Tahoma" w:hAnsi="Tahoma" w:cs="Tahoma"/>
          <w:b/>
          <w:outline/>
          <w:color w:val="4472C4"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INTERREG VI-D MAC </w:t>
      </w:r>
    </w:p>
    <w:p w14:paraId="4A1F6C8F" w14:textId="77777777" w:rsidR="008523EB" w:rsidRDefault="00E4765A">
      <w:pPr>
        <w:spacing w:before="120" w:after="120"/>
        <w:jc w:val="center"/>
        <w:rPr>
          <w:rFonts w:asciiTheme="majorHAnsi" w:eastAsia="Arial Unicode MS" w:hAnsiTheme="majorHAnsi" w:cstheme="majorHAnsi"/>
          <w:b/>
          <w:i/>
          <w:color w:val="00B050"/>
          <w:sz w:val="24"/>
          <w:szCs w:val="24"/>
          <w:lang w:eastAsia="zh-CN"/>
        </w:rPr>
      </w:pPr>
      <w:r>
        <w:rPr>
          <w:rFonts w:ascii="Tahoma" w:hAnsi="Tahoma" w:cs="Tahoma"/>
          <w:b/>
          <w:outline/>
          <w:color w:val="4472C4"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2021-2027</w:t>
      </w:r>
    </w:p>
    <w:p w14:paraId="32947E05"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05B35804"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4C444EE5"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73937EEE"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7C796532"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582C2F5D" w14:textId="77777777" w:rsidR="008523EB" w:rsidRDefault="00E4765A">
      <w:pPr>
        <w:tabs>
          <w:tab w:val="left" w:pos="7128"/>
        </w:tabs>
        <w:spacing w:before="120" w:after="120"/>
        <w:jc w:val="center"/>
        <w:rPr>
          <w:rFonts w:asciiTheme="majorHAnsi" w:eastAsia="Arial Unicode MS" w:hAnsiTheme="majorHAnsi" w:cstheme="majorHAnsi"/>
          <w:b/>
          <w:color w:val="2D3090"/>
          <w:sz w:val="24"/>
          <w:szCs w:val="24"/>
          <w:lang w:eastAsia="zh-CN"/>
        </w:rPr>
      </w:pPr>
      <w:r>
        <w:rPr>
          <w:noProof/>
        </w:rPr>
        <w:drawing>
          <wp:inline distT="0" distB="0" distL="0" distR="0" wp14:anchorId="6F0E70E7" wp14:editId="180E3087">
            <wp:extent cx="2352675" cy="1544955"/>
            <wp:effectExtent l="0" t="0" r="0" b="0"/>
            <wp:docPr id="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9"/>
                    <pic:cNvPicPr>
                      <a:picLocks noChangeAspect="1" noChangeArrowheads="1"/>
                    </pic:cNvPicPr>
                  </pic:nvPicPr>
                  <pic:blipFill>
                    <a:blip r:embed="rId9"/>
                    <a:stretch>
                      <a:fillRect/>
                    </a:stretch>
                  </pic:blipFill>
                  <pic:spPr bwMode="auto">
                    <a:xfrm>
                      <a:off x="0" y="0"/>
                      <a:ext cx="2352675" cy="1544955"/>
                    </a:xfrm>
                    <a:prstGeom prst="rect">
                      <a:avLst/>
                    </a:prstGeom>
                    <a:noFill/>
                  </pic:spPr>
                </pic:pic>
              </a:graphicData>
            </a:graphic>
          </wp:inline>
        </w:drawing>
      </w:r>
    </w:p>
    <w:p w14:paraId="3221FAE5"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5CA3038C"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74CC0253"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51821CA4"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0791AE67"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7ADC4B54"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7042D245"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p w14:paraId="4E898B8A" w14:textId="77777777" w:rsidR="008523EB" w:rsidRDefault="008523EB">
      <w:pPr>
        <w:tabs>
          <w:tab w:val="left" w:pos="7128"/>
        </w:tabs>
        <w:spacing w:before="120" w:after="120"/>
        <w:jc w:val="left"/>
        <w:rPr>
          <w:rFonts w:asciiTheme="majorHAnsi" w:eastAsia="Arial Unicode MS" w:hAnsiTheme="majorHAnsi" w:cstheme="majorHAnsi"/>
          <w:b/>
          <w:color w:val="2D3090"/>
          <w:sz w:val="24"/>
          <w:szCs w:val="24"/>
          <w:lang w:eastAsia="zh-CN"/>
        </w:rPr>
      </w:pPr>
    </w:p>
    <w:sdt>
      <w:sdtPr>
        <w:rPr>
          <w:rFonts w:asciiTheme="minorHAnsi" w:eastAsia="Times New Roman" w:hAnsiTheme="minorHAnsi" w:cs="Times New Roman"/>
          <w:color w:val="auto"/>
          <w:sz w:val="21"/>
          <w:szCs w:val="20"/>
        </w:rPr>
        <w:id w:val="-884862728"/>
        <w:docPartObj>
          <w:docPartGallery w:val="Table of Contents"/>
          <w:docPartUnique/>
        </w:docPartObj>
      </w:sdtPr>
      <w:sdtEndPr/>
      <w:sdtContent>
        <w:p w14:paraId="0DBB0B52" w14:textId="77777777" w:rsidR="008523EB" w:rsidRDefault="00E4765A">
          <w:pPr>
            <w:pStyle w:val="TtulodeTDC"/>
            <w:rPr>
              <w:color w:val="0070C0"/>
              <w:sz w:val="36"/>
              <w:szCs w:val="36"/>
            </w:rPr>
          </w:pPr>
          <w:r>
            <w:rPr>
              <w:color w:val="0070C0"/>
              <w:sz w:val="36"/>
              <w:szCs w:val="36"/>
            </w:rPr>
            <w:t>Contenido</w:t>
          </w:r>
        </w:p>
        <w:p w14:paraId="5BAE08A0" w14:textId="77777777" w:rsidR="008523EB" w:rsidRDefault="00E4765A">
          <w:pPr>
            <w:pStyle w:val="TDC1"/>
            <w:rPr>
              <w:rFonts w:asciiTheme="minorHAnsi" w:eastAsiaTheme="minorEastAsia" w:hAnsiTheme="minorHAnsi" w:cstheme="minorBidi"/>
              <w:b w:val="0"/>
              <w:color w:val="auto"/>
              <w:sz w:val="22"/>
              <w:szCs w:val="22"/>
              <w:lang w:val="es-ES" w:eastAsia="es-ES"/>
            </w:rPr>
          </w:pPr>
          <w:r>
            <w:fldChar w:fldCharType="begin"/>
          </w:r>
          <w:r>
            <w:rPr>
              <w:rStyle w:val="Enlacedelndice"/>
              <w:webHidden/>
              <w:color w:val="034990" w:themeColor="hyperlink" w:themeShade="BF"/>
              <w:lang w:val="pt-BR"/>
            </w:rPr>
            <w:instrText xml:space="preserve"> TOC \z \o "1-3" \u \h</w:instrText>
          </w:r>
          <w:r>
            <w:rPr>
              <w:rStyle w:val="Enlacedelndice"/>
              <w:color w:val="034990" w:themeColor="hyperlink" w:themeShade="BF"/>
              <w:lang w:val="pt-BR"/>
            </w:rPr>
            <w:fldChar w:fldCharType="separate"/>
          </w:r>
          <w:hyperlink w:anchor="_Toc190347166">
            <w:r>
              <w:rPr>
                <w:rStyle w:val="Enlacedelndice"/>
                <w:webHidden/>
                <w:color w:val="034990" w:themeColor="hyperlink" w:themeShade="BF"/>
                <w:lang w:val="pt-BR"/>
              </w:rPr>
              <w:t>1.</w:t>
            </w:r>
            <w:r>
              <w:rPr>
                <w:rStyle w:val="Enlacedelndice"/>
                <w:rFonts w:asciiTheme="minorHAnsi" w:eastAsiaTheme="minorEastAsia" w:hAnsiTheme="minorHAnsi" w:cstheme="minorBidi"/>
                <w:b w:val="0"/>
                <w:color w:val="auto"/>
                <w:sz w:val="22"/>
                <w:szCs w:val="22"/>
                <w:lang w:val="es-ES" w:eastAsia="es-ES"/>
              </w:rPr>
              <w:tab/>
            </w:r>
            <w:r>
              <w:rPr>
                <w:rStyle w:val="Enlacedelndice"/>
                <w:lang w:val="pt-BR"/>
              </w:rPr>
              <w:t>INTRODUCCIÓN</w:t>
            </w:r>
            <w:r>
              <w:rPr>
                <w:webHidden/>
              </w:rPr>
              <w:fldChar w:fldCharType="begin"/>
            </w:r>
            <w:r>
              <w:rPr>
                <w:webHidden/>
              </w:rPr>
              <w:instrText>PAGEREF _Toc190347166 \h</w:instrText>
            </w:r>
            <w:r>
              <w:rPr>
                <w:webHidden/>
              </w:rPr>
            </w:r>
            <w:r>
              <w:rPr>
                <w:webHidden/>
              </w:rPr>
              <w:fldChar w:fldCharType="separate"/>
            </w:r>
            <w:r>
              <w:rPr>
                <w:rStyle w:val="Enlacedelndice"/>
              </w:rPr>
              <w:tab/>
              <w:t>2</w:t>
            </w:r>
            <w:r>
              <w:rPr>
                <w:webHidden/>
              </w:rPr>
              <w:fldChar w:fldCharType="end"/>
            </w:r>
          </w:hyperlink>
        </w:p>
        <w:p w14:paraId="3E8DD909"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67">
            <w:r w:rsidR="00E4765A">
              <w:rPr>
                <w:rStyle w:val="Enlacedelndice"/>
                <w:webHidden/>
                <w:color w:val="034990" w:themeColor="hyperlink" w:themeShade="BF"/>
                <w:lang w:val="pt-BR"/>
              </w:rPr>
              <w:t>2.</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lang w:val="pt-BR"/>
              </w:rPr>
              <w:t>BASE JURÍDICA</w:t>
            </w:r>
            <w:r w:rsidR="00E4765A">
              <w:rPr>
                <w:webHidden/>
              </w:rPr>
              <w:fldChar w:fldCharType="begin"/>
            </w:r>
            <w:r w:rsidR="00E4765A">
              <w:rPr>
                <w:webHidden/>
              </w:rPr>
              <w:instrText>PAGEREF _Toc190347167 \h</w:instrText>
            </w:r>
            <w:r w:rsidR="00E4765A">
              <w:rPr>
                <w:webHidden/>
              </w:rPr>
            </w:r>
            <w:r w:rsidR="00E4765A">
              <w:rPr>
                <w:webHidden/>
              </w:rPr>
              <w:fldChar w:fldCharType="separate"/>
            </w:r>
            <w:r w:rsidR="00E4765A">
              <w:rPr>
                <w:rStyle w:val="Enlacedelndice"/>
              </w:rPr>
              <w:tab/>
              <w:t>2</w:t>
            </w:r>
            <w:r w:rsidR="00E4765A">
              <w:rPr>
                <w:webHidden/>
              </w:rPr>
              <w:fldChar w:fldCharType="end"/>
            </w:r>
          </w:hyperlink>
        </w:p>
        <w:p w14:paraId="62CC1239"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68">
            <w:r w:rsidR="00E4765A">
              <w:rPr>
                <w:rStyle w:val="Enlacedelndice"/>
                <w:webHidden/>
                <w:color w:val="034990" w:themeColor="hyperlink" w:themeShade="BF"/>
                <w:lang w:val="pt-BR"/>
              </w:rPr>
              <w:t>3.</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lang w:val="pt-BR"/>
              </w:rPr>
              <w:t>MODALIDADES DE SUBVENCIÓN</w:t>
            </w:r>
            <w:r w:rsidR="00E4765A">
              <w:rPr>
                <w:webHidden/>
              </w:rPr>
              <w:fldChar w:fldCharType="begin"/>
            </w:r>
            <w:r w:rsidR="00E4765A">
              <w:rPr>
                <w:webHidden/>
              </w:rPr>
              <w:instrText>PAGEREF _Toc190347168 \h</w:instrText>
            </w:r>
            <w:r w:rsidR="00E4765A">
              <w:rPr>
                <w:webHidden/>
              </w:rPr>
            </w:r>
            <w:r w:rsidR="00E4765A">
              <w:rPr>
                <w:webHidden/>
              </w:rPr>
              <w:fldChar w:fldCharType="separate"/>
            </w:r>
            <w:r w:rsidR="00E4765A">
              <w:rPr>
                <w:rStyle w:val="Enlacedelndice"/>
              </w:rPr>
              <w:tab/>
              <w:t>2</w:t>
            </w:r>
            <w:r w:rsidR="00E4765A">
              <w:rPr>
                <w:webHidden/>
              </w:rPr>
              <w:fldChar w:fldCharType="end"/>
            </w:r>
          </w:hyperlink>
        </w:p>
        <w:p w14:paraId="49E3FA62"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69">
            <w:r w:rsidR="00E4765A">
              <w:rPr>
                <w:rStyle w:val="Enlacedelndice"/>
                <w:webHidden/>
                <w:color w:val="034990" w:themeColor="hyperlink" w:themeShade="BF"/>
                <w:lang w:val="pt-BR"/>
              </w:rPr>
              <w:t>4.</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lang w:val="pt-BR"/>
              </w:rPr>
              <w:t>CRITERIOS GENERALES.</w:t>
            </w:r>
            <w:r w:rsidR="00E4765A">
              <w:rPr>
                <w:webHidden/>
              </w:rPr>
              <w:fldChar w:fldCharType="begin"/>
            </w:r>
            <w:r w:rsidR="00E4765A">
              <w:rPr>
                <w:webHidden/>
              </w:rPr>
              <w:instrText>PAGEREF _Toc190347169 \h</w:instrText>
            </w:r>
            <w:r w:rsidR="00E4765A">
              <w:rPr>
                <w:webHidden/>
              </w:rPr>
            </w:r>
            <w:r w:rsidR="00E4765A">
              <w:rPr>
                <w:webHidden/>
              </w:rPr>
              <w:fldChar w:fldCharType="separate"/>
            </w:r>
            <w:r w:rsidR="00E4765A">
              <w:rPr>
                <w:rStyle w:val="Enlacedelndice"/>
              </w:rPr>
              <w:tab/>
              <w:t>2</w:t>
            </w:r>
            <w:r w:rsidR="00E4765A">
              <w:rPr>
                <w:webHidden/>
              </w:rPr>
              <w:fldChar w:fldCharType="end"/>
            </w:r>
          </w:hyperlink>
        </w:p>
        <w:p w14:paraId="4A096E19"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0">
            <w:r w:rsidR="00E4765A">
              <w:rPr>
                <w:rStyle w:val="Enlacedelndice"/>
                <w:webHidden/>
                <w:color w:val="034990" w:themeColor="hyperlink" w:themeShade="BF"/>
                <w:lang w:val="pt-BR"/>
              </w:rPr>
              <w:t>5.</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lang w:val="pt-BR"/>
              </w:rPr>
              <w:t>GASTOS SUBVENCIONABLES.</w:t>
            </w:r>
            <w:r w:rsidR="00E4765A">
              <w:rPr>
                <w:webHidden/>
              </w:rPr>
              <w:fldChar w:fldCharType="begin"/>
            </w:r>
            <w:r w:rsidR="00E4765A">
              <w:rPr>
                <w:webHidden/>
              </w:rPr>
              <w:instrText>PAGEREF _Toc190347170 \h</w:instrText>
            </w:r>
            <w:r w:rsidR="00E4765A">
              <w:rPr>
                <w:webHidden/>
              </w:rPr>
            </w:r>
            <w:r w:rsidR="00E4765A">
              <w:rPr>
                <w:webHidden/>
              </w:rPr>
              <w:fldChar w:fldCharType="separate"/>
            </w:r>
            <w:r w:rsidR="00E4765A">
              <w:rPr>
                <w:rStyle w:val="Enlacedelndice"/>
              </w:rPr>
              <w:tab/>
              <w:t>3</w:t>
            </w:r>
            <w:r w:rsidR="00E4765A">
              <w:rPr>
                <w:webHidden/>
              </w:rPr>
              <w:fldChar w:fldCharType="end"/>
            </w:r>
          </w:hyperlink>
        </w:p>
        <w:p w14:paraId="66D18F85"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1">
            <w:r w:rsidR="00E4765A">
              <w:rPr>
                <w:rStyle w:val="Enlacedelndice"/>
                <w:webHidden/>
                <w:color w:val="034990" w:themeColor="hyperlink" w:themeShade="BF"/>
                <w:lang w:val="pt-BR"/>
              </w:rPr>
              <w:t>6.</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lang w:val="pt-BR"/>
              </w:rPr>
              <w:t>GASTOS NO SUBVENCIONABLES.</w:t>
            </w:r>
            <w:r w:rsidR="00E4765A">
              <w:rPr>
                <w:webHidden/>
              </w:rPr>
              <w:fldChar w:fldCharType="begin"/>
            </w:r>
            <w:r w:rsidR="00E4765A">
              <w:rPr>
                <w:webHidden/>
              </w:rPr>
              <w:instrText>PAGEREF _Toc190347171 \h</w:instrText>
            </w:r>
            <w:r w:rsidR="00E4765A">
              <w:rPr>
                <w:webHidden/>
              </w:rPr>
            </w:r>
            <w:r w:rsidR="00E4765A">
              <w:rPr>
                <w:webHidden/>
              </w:rPr>
              <w:fldChar w:fldCharType="separate"/>
            </w:r>
            <w:r w:rsidR="00E4765A">
              <w:rPr>
                <w:rStyle w:val="Enlacedelndice"/>
              </w:rPr>
              <w:tab/>
              <w:t>4</w:t>
            </w:r>
            <w:r w:rsidR="00E4765A">
              <w:rPr>
                <w:webHidden/>
              </w:rPr>
              <w:fldChar w:fldCharType="end"/>
            </w:r>
          </w:hyperlink>
        </w:p>
        <w:p w14:paraId="107BC460"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2">
            <w:r w:rsidR="00E4765A">
              <w:rPr>
                <w:rStyle w:val="Enlacedelndice"/>
                <w:webHidden/>
                <w:color w:val="034990" w:themeColor="hyperlink" w:themeShade="BF"/>
              </w:rPr>
              <w:t>7.</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CATEGORÍAS DE GASTO SUBVENCIONABLES</w:t>
            </w:r>
            <w:r w:rsidR="00E4765A">
              <w:rPr>
                <w:webHidden/>
              </w:rPr>
              <w:fldChar w:fldCharType="begin"/>
            </w:r>
            <w:r w:rsidR="00E4765A">
              <w:rPr>
                <w:webHidden/>
              </w:rPr>
              <w:instrText>PAGEREF _Toc190347172 \h</w:instrText>
            </w:r>
            <w:r w:rsidR="00E4765A">
              <w:rPr>
                <w:webHidden/>
              </w:rPr>
            </w:r>
            <w:r w:rsidR="00E4765A">
              <w:rPr>
                <w:webHidden/>
              </w:rPr>
              <w:fldChar w:fldCharType="separate"/>
            </w:r>
            <w:r w:rsidR="00E4765A">
              <w:rPr>
                <w:rStyle w:val="Enlacedelndice"/>
              </w:rPr>
              <w:tab/>
              <w:t>5</w:t>
            </w:r>
            <w:r w:rsidR="00E4765A">
              <w:rPr>
                <w:webHidden/>
              </w:rPr>
              <w:fldChar w:fldCharType="end"/>
            </w:r>
          </w:hyperlink>
        </w:p>
        <w:p w14:paraId="77294F4B"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3">
            <w:r w:rsidR="00E4765A">
              <w:rPr>
                <w:rStyle w:val="Enlacedelndice"/>
                <w:webHidden/>
                <w:color w:val="034990" w:themeColor="hyperlink" w:themeShade="BF"/>
              </w:rPr>
              <w:t>8.</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SISTEMA DE COSTES SIMPLIFICADOS</w:t>
            </w:r>
            <w:r w:rsidR="00E4765A">
              <w:rPr>
                <w:webHidden/>
              </w:rPr>
              <w:fldChar w:fldCharType="begin"/>
            </w:r>
            <w:r w:rsidR="00E4765A">
              <w:rPr>
                <w:webHidden/>
              </w:rPr>
              <w:instrText>PAGEREF _Toc190347173 \h</w:instrText>
            </w:r>
            <w:r w:rsidR="00E4765A">
              <w:rPr>
                <w:webHidden/>
              </w:rPr>
            </w:r>
            <w:r w:rsidR="00E4765A">
              <w:rPr>
                <w:webHidden/>
              </w:rPr>
              <w:fldChar w:fldCharType="separate"/>
            </w:r>
            <w:r w:rsidR="00E4765A">
              <w:rPr>
                <w:rStyle w:val="Enlacedelndice"/>
              </w:rPr>
              <w:tab/>
              <w:t>5</w:t>
            </w:r>
            <w:r w:rsidR="00E4765A">
              <w:rPr>
                <w:webHidden/>
              </w:rPr>
              <w:fldChar w:fldCharType="end"/>
            </w:r>
          </w:hyperlink>
        </w:p>
        <w:p w14:paraId="06D3E7D6"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4">
            <w:r w:rsidR="00E4765A">
              <w:rPr>
                <w:rStyle w:val="Enlacedelndice"/>
                <w:webHidden/>
                <w:color w:val="034990" w:themeColor="hyperlink" w:themeShade="BF"/>
              </w:rPr>
              <w:t>9.</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NORMATIVA EN MATERIA DE CONTRATACIÓN</w:t>
            </w:r>
            <w:r w:rsidR="00E4765A">
              <w:rPr>
                <w:webHidden/>
              </w:rPr>
              <w:fldChar w:fldCharType="begin"/>
            </w:r>
            <w:r w:rsidR="00E4765A">
              <w:rPr>
                <w:webHidden/>
              </w:rPr>
              <w:instrText>PAGEREF _Toc190347174 \h</w:instrText>
            </w:r>
            <w:r w:rsidR="00E4765A">
              <w:rPr>
                <w:webHidden/>
              </w:rPr>
            </w:r>
            <w:r w:rsidR="00E4765A">
              <w:rPr>
                <w:webHidden/>
              </w:rPr>
              <w:fldChar w:fldCharType="separate"/>
            </w:r>
            <w:r w:rsidR="00E4765A">
              <w:rPr>
                <w:rStyle w:val="Enlacedelndice"/>
              </w:rPr>
              <w:tab/>
              <w:t>7</w:t>
            </w:r>
            <w:r w:rsidR="00E4765A">
              <w:rPr>
                <w:webHidden/>
              </w:rPr>
              <w:fldChar w:fldCharType="end"/>
            </w:r>
          </w:hyperlink>
        </w:p>
        <w:p w14:paraId="0A71AC53"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5">
            <w:r w:rsidR="00E4765A">
              <w:rPr>
                <w:rStyle w:val="Enlacedelndice"/>
                <w:webHidden/>
                <w:color w:val="034990" w:themeColor="hyperlink" w:themeShade="BF"/>
              </w:rPr>
              <w:t>10.</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NORMATIVA EN MATERIA DE AYUDAS DE ESTADO.</w:t>
            </w:r>
            <w:r w:rsidR="00E4765A">
              <w:rPr>
                <w:webHidden/>
              </w:rPr>
              <w:fldChar w:fldCharType="begin"/>
            </w:r>
            <w:r w:rsidR="00E4765A">
              <w:rPr>
                <w:webHidden/>
              </w:rPr>
              <w:instrText>PAGEREF _Toc190347175 \h</w:instrText>
            </w:r>
            <w:r w:rsidR="00E4765A">
              <w:rPr>
                <w:webHidden/>
              </w:rPr>
            </w:r>
            <w:r w:rsidR="00E4765A">
              <w:rPr>
                <w:webHidden/>
              </w:rPr>
              <w:fldChar w:fldCharType="separate"/>
            </w:r>
            <w:r w:rsidR="00E4765A">
              <w:rPr>
                <w:rStyle w:val="Enlacedelndice"/>
              </w:rPr>
              <w:tab/>
              <w:t>8</w:t>
            </w:r>
            <w:r w:rsidR="00E4765A">
              <w:rPr>
                <w:webHidden/>
              </w:rPr>
              <w:fldChar w:fldCharType="end"/>
            </w:r>
          </w:hyperlink>
        </w:p>
        <w:p w14:paraId="45ECACBE"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6">
            <w:r w:rsidR="00E4765A">
              <w:rPr>
                <w:rStyle w:val="Enlacedelndice"/>
                <w:webHidden/>
                <w:color w:val="034990" w:themeColor="hyperlink" w:themeShade="BF"/>
              </w:rPr>
              <w:t>11.</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color w:val="034990" w:themeColor="hyperlink" w:themeShade="BF"/>
              </w:rPr>
              <w:t>TRATAMIENTO DE LOS INGRESOS GENERADOS</w:t>
            </w:r>
            <w:r w:rsidR="00E4765A">
              <w:rPr>
                <w:webHidden/>
              </w:rPr>
              <w:fldChar w:fldCharType="begin"/>
            </w:r>
            <w:r w:rsidR="00E4765A">
              <w:rPr>
                <w:webHidden/>
              </w:rPr>
              <w:instrText>PAGEREF _Toc190347176 \h</w:instrText>
            </w:r>
            <w:r w:rsidR="00E4765A">
              <w:rPr>
                <w:webHidden/>
              </w:rPr>
            </w:r>
            <w:r w:rsidR="00E4765A">
              <w:rPr>
                <w:webHidden/>
              </w:rPr>
              <w:fldChar w:fldCharType="separate"/>
            </w:r>
            <w:r w:rsidR="00E4765A">
              <w:rPr>
                <w:rStyle w:val="Enlacedelndice"/>
              </w:rPr>
              <w:tab/>
              <w:t>9</w:t>
            </w:r>
            <w:r w:rsidR="00E4765A">
              <w:rPr>
                <w:webHidden/>
              </w:rPr>
              <w:fldChar w:fldCharType="end"/>
            </w:r>
          </w:hyperlink>
        </w:p>
        <w:p w14:paraId="23ABBE88"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7">
            <w:r w:rsidR="00E4765A">
              <w:rPr>
                <w:rStyle w:val="Enlacedelndice"/>
                <w:webHidden/>
                <w:color w:val="034990" w:themeColor="hyperlink" w:themeShade="BF"/>
              </w:rPr>
              <w:t>12.</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UNIDAD MONETARIA APLICABLE</w:t>
            </w:r>
            <w:r w:rsidR="00E4765A">
              <w:rPr>
                <w:webHidden/>
              </w:rPr>
              <w:fldChar w:fldCharType="begin"/>
            </w:r>
            <w:r w:rsidR="00E4765A">
              <w:rPr>
                <w:webHidden/>
              </w:rPr>
              <w:instrText>PAGEREF _Toc190347177 \h</w:instrText>
            </w:r>
            <w:r w:rsidR="00E4765A">
              <w:rPr>
                <w:webHidden/>
              </w:rPr>
            </w:r>
            <w:r w:rsidR="00E4765A">
              <w:rPr>
                <w:webHidden/>
              </w:rPr>
              <w:fldChar w:fldCharType="separate"/>
            </w:r>
            <w:r w:rsidR="00E4765A">
              <w:rPr>
                <w:rStyle w:val="Enlacedelndice"/>
              </w:rPr>
              <w:tab/>
              <w:t>9</w:t>
            </w:r>
            <w:r w:rsidR="00E4765A">
              <w:rPr>
                <w:webHidden/>
              </w:rPr>
              <w:fldChar w:fldCharType="end"/>
            </w:r>
          </w:hyperlink>
        </w:p>
        <w:p w14:paraId="0EB92227"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78">
            <w:r w:rsidR="00E4765A">
              <w:rPr>
                <w:rStyle w:val="Enlacedelndice"/>
                <w:webHidden/>
                <w:color w:val="034990" w:themeColor="hyperlink" w:themeShade="BF"/>
              </w:rPr>
              <w:t>13.</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PISTA DE AUDITORÍA</w:t>
            </w:r>
            <w:r w:rsidR="00E4765A">
              <w:rPr>
                <w:webHidden/>
              </w:rPr>
              <w:fldChar w:fldCharType="begin"/>
            </w:r>
            <w:r w:rsidR="00E4765A">
              <w:rPr>
                <w:webHidden/>
              </w:rPr>
              <w:instrText>PAGEREF _Toc190347178 \h</w:instrText>
            </w:r>
            <w:r w:rsidR="00E4765A">
              <w:rPr>
                <w:webHidden/>
              </w:rPr>
            </w:r>
            <w:r w:rsidR="00E4765A">
              <w:rPr>
                <w:webHidden/>
              </w:rPr>
              <w:fldChar w:fldCharType="separate"/>
            </w:r>
            <w:r w:rsidR="00E4765A">
              <w:rPr>
                <w:rStyle w:val="Enlacedelndice"/>
              </w:rPr>
              <w:tab/>
              <w:t>9</w:t>
            </w:r>
            <w:r w:rsidR="00E4765A">
              <w:rPr>
                <w:webHidden/>
              </w:rPr>
              <w:fldChar w:fldCharType="end"/>
            </w:r>
          </w:hyperlink>
        </w:p>
        <w:p w14:paraId="6F5FF53A" w14:textId="77777777" w:rsidR="008523EB" w:rsidRDefault="005E7426">
          <w:pPr>
            <w:pStyle w:val="TDC1"/>
            <w:tabs>
              <w:tab w:val="left" w:pos="880"/>
            </w:tabs>
            <w:rPr>
              <w:rFonts w:asciiTheme="minorHAnsi" w:eastAsiaTheme="minorEastAsia" w:hAnsiTheme="minorHAnsi" w:cstheme="minorBidi"/>
              <w:b w:val="0"/>
              <w:color w:val="auto"/>
              <w:sz w:val="22"/>
              <w:szCs w:val="22"/>
              <w:lang w:val="es-ES" w:eastAsia="es-ES"/>
            </w:rPr>
          </w:pPr>
          <w:hyperlink w:anchor="_Toc190347179">
            <w:r w:rsidR="00E4765A">
              <w:rPr>
                <w:rStyle w:val="Enlacedelndice"/>
                <w:webHidden/>
              </w:rPr>
              <w:t>13.1.</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JUSTIFICACIÓN DEL GASTO</w:t>
            </w:r>
            <w:r w:rsidR="00E4765A">
              <w:rPr>
                <w:webHidden/>
              </w:rPr>
              <w:fldChar w:fldCharType="begin"/>
            </w:r>
            <w:r w:rsidR="00E4765A">
              <w:rPr>
                <w:webHidden/>
              </w:rPr>
              <w:instrText>PAGEREF _Toc190347179 \h</w:instrText>
            </w:r>
            <w:r w:rsidR="00E4765A">
              <w:rPr>
                <w:webHidden/>
              </w:rPr>
            </w:r>
            <w:r w:rsidR="00E4765A">
              <w:rPr>
                <w:webHidden/>
              </w:rPr>
              <w:fldChar w:fldCharType="separate"/>
            </w:r>
            <w:r w:rsidR="00E4765A">
              <w:rPr>
                <w:rStyle w:val="Enlacedelndice"/>
              </w:rPr>
              <w:tab/>
              <w:t>10</w:t>
            </w:r>
            <w:r w:rsidR="00E4765A">
              <w:rPr>
                <w:webHidden/>
              </w:rPr>
              <w:fldChar w:fldCharType="end"/>
            </w:r>
          </w:hyperlink>
        </w:p>
        <w:p w14:paraId="4F4FA1B6" w14:textId="77777777" w:rsidR="008523EB" w:rsidRDefault="005E7426">
          <w:pPr>
            <w:pStyle w:val="TDC1"/>
            <w:tabs>
              <w:tab w:val="left" w:pos="880"/>
            </w:tabs>
            <w:rPr>
              <w:rFonts w:asciiTheme="minorHAnsi" w:eastAsiaTheme="minorEastAsia" w:hAnsiTheme="minorHAnsi" w:cstheme="minorBidi"/>
              <w:b w:val="0"/>
              <w:color w:val="auto"/>
              <w:sz w:val="22"/>
              <w:szCs w:val="22"/>
              <w:lang w:val="es-ES" w:eastAsia="es-ES"/>
            </w:rPr>
          </w:pPr>
          <w:hyperlink w:anchor="_Toc190347180">
            <w:r w:rsidR="00E4765A">
              <w:rPr>
                <w:rStyle w:val="Enlacedelndice"/>
                <w:webHidden/>
              </w:rPr>
              <w:t>13.2.</w:t>
            </w:r>
            <w:r w:rsidR="00E4765A">
              <w:rPr>
                <w:rStyle w:val="Enlacedelndice"/>
                <w:rFonts w:asciiTheme="minorHAnsi" w:eastAsiaTheme="minorEastAsia" w:hAnsiTheme="minorHAnsi" w:cstheme="minorBidi"/>
                <w:b w:val="0"/>
                <w:color w:val="auto"/>
                <w:sz w:val="22"/>
                <w:szCs w:val="22"/>
                <w:lang w:val="es-ES" w:eastAsia="es-ES"/>
              </w:rPr>
              <w:tab/>
            </w:r>
            <w:r w:rsidR="00E4765A">
              <w:rPr>
                <w:rStyle w:val="Enlacedelndice"/>
              </w:rPr>
              <w:t>JUSTIFICACIÓN DEL PAGO</w:t>
            </w:r>
            <w:r w:rsidR="00E4765A">
              <w:rPr>
                <w:webHidden/>
              </w:rPr>
              <w:fldChar w:fldCharType="begin"/>
            </w:r>
            <w:r w:rsidR="00E4765A">
              <w:rPr>
                <w:webHidden/>
              </w:rPr>
              <w:instrText>PAGEREF _Toc190347180 \h</w:instrText>
            </w:r>
            <w:r w:rsidR="00E4765A">
              <w:rPr>
                <w:webHidden/>
              </w:rPr>
            </w:r>
            <w:r w:rsidR="00E4765A">
              <w:rPr>
                <w:webHidden/>
              </w:rPr>
              <w:fldChar w:fldCharType="separate"/>
            </w:r>
            <w:r w:rsidR="00E4765A">
              <w:rPr>
                <w:rStyle w:val="Enlacedelndice"/>
              </w:rPr>
              <w:tab/>
              <w:t>12</w:t>
            </w:r>
            <w:r w:rsidR="00E4765A">
              <w:rPr>
                <w:webHidden/>
              </w:rPr>
              <w:fldChar w:fldCharType="end"/>
            </w:r>
          </w:hyperlink>
        </w:p>
        <w:p w14:paraId="3CFBB5D5"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81">
            <w:r w:rsidR="00E4765A">
              <w:rPr>
                <w:rStyle w:val="Enlacedelndice"/>
                <w:rFonts w:eastAsia="Times New Roman"/>
                <w:webHidden/>
              </w:rPr>
              <w:t xml:space="preserve">14. </w:t>
            </w:r>
            <w:r w:rsidR="00E4765A">
              <w:rPr>
                <w:rStyle w:val="Enlacedelndice"/>
              </w:rPr>
              <w:t>CONSIDERACIONES FINALES</w:t>
            </w:r>
            <w:r w:rsidR="00E4765A">
              <w:rPr>
                <w:webHidden/>
              </w:rPr>
              <w:fldChar w:fldCharType="begin"/>
            </w:r>
            <w:r w:rsidR="00E4765A">
              <w:rPr>
                <w:webHidden/>
              </w:rPr>
              <w:instrText>PAGEREF _Toc190347181 \h</w:instrText>
            </w:r>
            <w:r w:rsidR="00E4765A">
              <w:rPr>
                <w:webHidden/>
              </w:rPr>
            </w:r>
            <w:r w:rsidR="00E4765A">
              <w:rPr>
                <w:webHidden/>
              </w:rPr>
              <w:fldChar w:fldCharType="separate"/>
            </w:r>
            <w:r w:rsidR="00E4765A">
              <w:rPr>
                <w:rStyle w:val="Enlacedelndice"/>
              </w:rPr>
              <w:tab/>
              <w:t>13</w:t>
            </w:r>
            <w:r w:rsidR="00E4765A">
              <w:rPr>
                <w:webHidden/>
              </w:rPr>
              <w:fldChar w:fldCharType="end"/>
            </w:r>
          </w:hyperlink>
        </w:p>
        <w:p w14:paraId="1F7B89BE" w14:textId="77777777" w:rsidR="008523EB" w:rsidRDefault="005E7426">
          <w:pPr>
            <w:pStyle w:val="TDC1"/>
            <w:rPr>
              <w:rFonts w:asciiTheme="minorHAnsi" w:eastAsiaTheme="minorEastAsia" w:hAnsiTheme="minorHAnsi" w:cstheme="minorBidi"/>
              <w:b w:val="0"/>
              <w:color w:val="auto"/>
              <w:sz w:val="22"/>
              <w:szCs w:val="22"/>
              <w:lang w:val="es-ES" w:eastAsia="es-ES"/>
            </w:rPr>
          </w:pPr>
          <w:hyperlink w:anchor="_Toc190347182">
            <w:r w:rsidR="00E4765A">
              <w:rPr>
                <w:webHidden/>
              </w:rPr>
              <w:fldChar w:fldCharType="begin"/>
            </w:r>
            <w:r w:rsidR="00E4765A">
              <w:rPr>
                <w:webHidden/>
              </w:rPr>
              <w:instrText>PAGEREF _Toc190347182 \h</w:instrText>
            </w:r>
            <w:r w:rsidR="00E4765A">
              <w:rPr>
                <w:webHidden/>
              </w:rPr>
            </w:r>
            <w:r w:rsidR="00E4765A">
              <w:rPr>
                <w:webHidden/>
              </w:rPr>
              <w:fldChar w:fldCharType="separate"/>
            </w:r>
            <w:r w:rsidR="00E4765A">
              <w:rPr>
                <w:rStyle w:val="Enlacedelndice"/>
                <w:webHidden/>
              </w:rPr>
              <w:t>15. ANEXOS (FICHAS TÉCNICAS POR CATEGORÍAS DE GASTOS)</w:t>
            </w:r>
            <w:r w:rsidR="00E4765A">
              <w:rPr>
                <w:rStyle w:val="Enlacedelndice"/>
                <w:webHidden/>
              </w:rPr>
              <w:tab/>
              <w:t>14</w:t>
            </w:r>
            <w:r w:rsidR="00E4765A">
              <w:rPr>
                <w:webHidden/>
              </w:rPr>
              <w:fldChar w:fldCharType="end"/>
            </w:r>
          </w:hyperlink>
        </w:p>
        <w:p w14:paraId="615FFDF0" w14:textId="77777777" w:rsidR="008523EB" w:rsidRDefault="00E4765A">
          <w:r>
            <w:fldChar w:fldCharType="end"/>
          </w:r>
        </w:p>
      </w:sdtContent>
    </w:sdt>
    <w:p w14:paraId="3A9DB7B4" w14:textId="77777777" w:rsidR="008523EB" w:rsidRDefault="00E4765A">
      <w:pPr>
        <w:spacing w:before="120" w:after="120"/>
        <w:jc w:val="left"/>
        <w:rPr>
          <w:rFonts w:asciiTheme="majorHAnsi" w:eastAsia="Arial Unicode MS" w:hAnsiTheme="majorHAnsi" w:cstheme="majorHAnsi"/>
          <w:b/>
          <w:i/>
          <w:color w:val="00B050"/>
          <w:sz w:val="24"/>
          <w:szCs w:val="24"/>
          <w:lang w:eastAsia="zh-CN"/>
        </w:rPr>
      </w:pPr>
      <w:r>
        <w:br w:type="page"/>
      </w:r>
    </w:p>
    <w:p w14:paraId="4F9D5439" w14:textId="77777777" w:rsidR="008523EB" w:rsidRDefault="008523EB">
      <w:pPr>
        <w:spacing w:before="0" w:after="120"/>
        <w:jc w:val="left"/>
        <w:rPr>
          <w:rFonts w:asciiTheme="majorHAnsi" w:eastAsia="Arial Unicode MS" w:hAnsiTheme="majorHAnsi" w:cstheme="majorHAnsi"/>
          <w:b/>
          <w:i/>
          <w:color w:val="00B050"/>
          <w:sz w:val="24"/>
          <w:szCs w:val="24"/>
          <w:lang w:eastAsia="zh-CN"/>
        </w:rPr>
      </w:pPr>
    </w:p>
    <w:p w14:paraId="61B4F4C2"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val="pt-BR" w:eastAsia="zh-CN"/>
        </w:rPr>
      </w:pPr>
      <w:bookmarkStart w:id="0" w:name="_Toc188613818"/>
      <w:bookmarkStart w:id="1" w:name="_Toc190347166"/>
      <w:r>
        <w:rPr>
          <w:rFonts w:ascii="Tahoma" w:eastAsia="Arial Unicode MS" w:hAnsi="Tahoma" w:cs="Tahoma"/>
          <w:b/>
          <w:color w:val="1F4E79" w:themeColor="accent1" w:themeShade="80"/>
          <w:sz w:val="22"/>
          <w:szCs w:val="22"/>
          <w:lang w:val="pt-BR" w:eastAsia="zh-CN"/>
        </w:rPr>
        <w:t>INTRODUCCIÓN</w:t>
      </w:r>
      <w:bookmarkEnd w:id="0"/>
      <w:bookmarkEnd w:id="1"/>
    </w:p>
    <w:p w14:paraId="761E9F73" w14:textId="77777777" w:rsidR="008523EB" w:rsidRDefault="00E4765A">
      <w:pPr>
        <w:tabs>
          <w:tab w:val="left" w:pos="7128"/>
        </w:tabs>
        <w:spacing w:before="120" w:after="120"/>
        <w:rPr>
          <w:rFonts w:ascii="Tahoma" w:hAnsi="Tahoma" w:cs="Tahoma"/>
          <w:sz w:val="22"/>
          <w:szCs w:val="22"/>
        </w:rPr>
      </w:pPr>
      <w:r>
        <w:rPr>
          <w:rFonts w:ascii="Tahoma" w:hAnsi="Tahoma" w:cs="Tahoma"/>
          <w:sz w:val="22"/>
          <w:szCs w:val="22"/>
        </w:rPr>
        <w:t xml:space="preserve">Con el objetivo de establecer </w:t>
      </w:r>
      <w:r>
        <w:rPr>
          <w:rFonts w:ascii="Tahoma" w:hAnsi="Tahoma" w:cs="Tahoma"/>
          <w:b/>
          <w:bCs/>
          <w:sz w:val="22"/>
          <w:szCs w:val="22"/>
        </w:rPr>
        <w:t xml:space="preserve">normas comunes </w:t>
      </w:r>
      <w:r>
        <w:rPr>
          <w:rFonts w:ascii="Tahoma" w:hAnsi="Tahoma" w:cs="Tahoma"/>
          <w:sz w:val="22"/>
          <w:szCs w:val="22"/>
        </w:rPr>
        <w:t xml:space="preserve">al conjunto del Programa, el Comité de Seguimiento, en base a las fichas técnicas elaboradas por INTERACT en colaboración con la Comisión Europea y a la experiencia acumulada en la gestión y seguimiento del programa Interreg MAC en periodos de programación anteriores, ha aprobado las siguientes Normas de Subvencionabilidad, que serán de aplicación a todos los beneficiarios del programa independientemente de su naturaleza jurídica o ubicación. </w:t>
      </w:r>
    </w:p>
    <w:p w14:paraId="0FD7EAFA"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val="pt-BR" w:eastAsia="zh-CN"/>
        </w:rPr>
      </w:pPr>
      <w:bookmarkStart w:id="2" w:name="_Toc188613819"/>
      <w:bookmarkStart w:id="3" w:name="_Toc190347167"/>
      <w:r>
        <w:rPr>
          <w:rFonts w:ascii="Tahoma" w:eastAsia="Arial Unicode MS" w:hAnsi="Tahoma" w:cs="Tahoma"/>
          <w:b/>
          <w:color w:val="1F4E79" w:themeColor="accent1" w:themeShade="80"/>
          <w:sz w:val="22"/>
          <w:szCs w:val="22"/>
          <w:lang w:val="pt-BR" w:eastAsia="zh-CN"/>
        </w:rPr>
        <w:t>BASE JURÍDICA</w:t>
      </w:r>
      <w:bookmarkEnd w:id="2"/>
      <w:bookmarkEnd w:id="3"/>
    </w:p>
    <w:p w14:paraId="695E3762" w14:textId="77777777" w:rsidR="008523EB" w:rsidRDefault="00E4765A">
      <w:pPr>
        <w:spacing w:before="120" w:after="12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El Reglamento (UE) nº 2018/1046, “Reglamento financiero” establece el marco general aplicable a las reglas financieras del presupuesto general de la Unión Europea.</w:t>
      </w:r>
    </w:p>
    <w:p w14:paraId="5E7F9E24" w14:textId="77777777" w:rsidR="008523EB" w:rsidRDefault="00E4765A">
      <w:pPr>
        <w:spacing w:before="120" w:after="120"/>
        <w:rPr>
          <w:rFonts w:ascii="Tahoma" w:eastAsiaTheme="minorHAnsi" w:hAnsi="Tahoma" w:cs="Tahoma"/>
          <w:sz w:val="22"/>
          <w:szCs w:val="22"/>
          <w:lang w:eastAsia="en-US"/>
        </w:rPr>
      </w:pPr>
      <w:r>
        <w:rPr>
          <w:rFonts w:ascii="Tahoma" w:eastAsiaTheme="minorHAnsi" w:hAnsi="Tahoma" w:cs="Tahoma"/>
          <w:sz w:val="22"/>
          <w:szCs w:val="22"/>
          <w:lang w:eastAsia="en-US"/>
        </w:rPr>
        <w:t>Por su parte, los Reglamentos nº 2021/1060 de disposiciones comunes a los fondos (RDC), nº 2021/1058 del Fondo Europeo de Desarrollo Regional (FEDER) y nº 2021/1059 de Cooperación Territorial Europea (Interreg) regulan las normas de subvencionabilidad de los gastos y establecen la siguiente jerarquía respecto a las normas de subvencionabilidad:</w:t>
      </w:r>
    </w:p>
    <w:p w14:paraId="60E2A85D" w14:textId="77777777" w:rsidR="008523EB" w:rsidRDefault="00E4765A">
      <w:pPr>
        <w:pStyle w:val="Default"/>
        <w:numPr>
          <w:ilvl w:val="0"/>
          <w:numId w:val="6"/>
        </w:numPr>
        <w:spacing w:before="120" w:after="120"/>
        <w:jc w:val="both"/>
        <w:rPr>
          <w:b/>
          <w:bCs/>
          <w:color w:val="000000" w:themeColor="text1"/>
          <w:sz w:val="22"/>
          <w:szCs w:val="22"/>
        </w:rPr>
      </w:pPr>
      <w:r>
        <w:rPr>
          <w:color w:val="000000" w:themeColor="text1"/>
          <w:sz w:val="22"/>
          <w:szCs w:val="22"/>
        </w:rPr>
        <w:t xml:space="preserve">Normas establecidas en los </w:t>
      </w:r>
      <w:r>
        <w:rPr>
          <w:b/>
          <w:bCs/>
          <w:color w:val="000000" w:themeColor="text1"/>
          <w:sz w:val="22"/>
          <w:szCs w:val="22"/>
        </w:rPr>
        <w:t>Reglamentos.</w:t>
      </w:r>
    </w:p>
    <w:p w14:paraId="7261D717" w14:textId="77777777" w:rsidR="008523EB" w:rsidRDefault="00E4765A">
      <w:pPr>
        <w:pStyle w:val="Default"/>
        <w:numPr>
          <w:ilvl w:val="0"/>
          <w:numId w:val="6"/>
        </w:numPr>
        <w:spacing w:before="120" w:after="120"/>
        <w:jc w:val="both"/>
        <w:rPr>
          <w:color w:val="000000" w:themeColor="text1"/>
          <w:sz w:val="22"/>
          <w:szCs w:val="22"/>
        </w:rPr>
      </w:pPr>
      <w:r>
        <w:rPr>
          <w:color w:val="000000" w:themeColor="text1"/>
          <w:sz w:val="22"/>
          <w:szCs w:val="22"/>
        </w:rPr>
        <w:t xml:space="preserve">Normas establecidas por el </w:t>
      </w:r>
      <w:r>
        <w:rPr>
          <w:b/>
          <w:bCs/>
          <w:color w:val="000000" w:themeColor="text1"/>
          <w:sz w:val="22"/>
          <w:szCs w:val="22"/>
        </w:rPr>
        <w:t xml:space="preserve">Comité de Seguimiento </w:t>
      </w:r>
      <w:r>
        <w:rPr>
          <w:color w:val="000000" w:themeColor="text1"/>
          <w:sz w:val="22"/>
          <w:szCs w:val="22"/>
        </w:rPr>
        <w:t xml:space="preserve">para categorías de gastos no incluidas en los Reglamentos. </w:t>
      </w:r>
    </w:p>
    <w:p w14:paraId="2E858F5C" w14:textId="77777777" w:rsidR="008523EB" w:rsidRDefault="00E4765A">
      <w:pPr>
        <w:pStyle w:val="Default"/>
        <w:numPr>
          <w:ilvl w:val="0"/>
          <w:numId w:val="6"/>
        </w:numPr>
        <w:spacing w:before="120" w:after="120"/>
        <w:jc w:val="both"/>
        <w:rPr>
          <w:color w:val="auto"/>
          <w:sz w:val="22"/>
          <w:szCs w:val="22"/>
        </w:rPr>
      </w:pPr>
      <w:r>
        <w:rPr>
          <w:b/>
          <w:bCs/>
          <w:color w:val="000000" w:themeColor="text1"/>
          <w:sz w:val="22"/>
          <w:szCs w:val="22"/>
        </w:rPr>
        <w:t xml:space="preserve">Normas nacionales </w:t>
      </w:r>
      <w:r>
        <w:rPr>
          <w:color w:val="000000" w:themeColor="text1"/>
          <w:sz w:val="22"/>
          <w:szCs w:val="22"/>
        </w:rPr>
        <w:t xml:space="preserve">del Estado miembro del beneficiario, en su caso, para cuestiones no reguladas </w:t>
      </w:r>
      <w:r>
        <w:rPr>
          <w:sz w:val="22"/>
          <w:szCs w:val="22"/>
        </w:rPr>
        <w:t xml:space="preserve">en los Reglamentos ni </w:t>
      </w:r>
      <w:r>
        <w:rPr>
          <w:color w:val="auto"/>
          <w:sz w:val="22"/>
          <w:szCs w:val="22"/>
        </w:rPr>
        <w:t xml:space="preserve">en las normas establecidas </w:t>
      </w:r>
      <w:r>
        <w:rPr>
          <w:sz w:val="22"/>
          <w:szCs w:val="22"/>
        </w:rPr>
        <w:t>por el Comité de Seguimiento</w:t>
      </w:r>
      <w:r>
        <w:rPr>
          <w:color w:val="auto"/>
          <w:sz w:val="22"/>
          <w:szCs w:val="22"/>
        </w:rPr>
        <w:t>.</w:t>
      </w:r>
    </w:p>
    <w:p w14:paraId="54D97597" w14:textId="77777777" w:rsidR="008523EB" w:rsidRDefault="00E4765A">
      <w:pPr>
        <w:pStyle w:val="Default"/>
        <w:numPr>
          <w:ilvl w:val="0"/>
          <w:numId w:val="6"/>
        </w:numPr>
        <w:spacing w:before="120" w:after="120"/>
        <w:jc w:val="both"/>
        <w:rPr>
          <w:color w:val="auto"/>
          <w:sz w:val="22"/>
          <w:szCs w:val="22"/>
        </w:rPr>
      </w:pPr>
      <w:r>
        <w:rPr>
          <w:b/>
          <w:bCs/>
          <w:color w:val="000000" w:themeColor="text1"/>
          <w:sz w:val="22"/>
          <w:szCs w:val="22"/>
        </w:rPr>
        <w:t xml:space="preserve">El resto del Ordenamiento Jurídico </w:t>
      </w:r>
      <w:r>
        <w:rPr>
          <w:bCs/>
          <w:color w:val="000000" w:themeColor="text1"/>
          <w:sz w:val="22"/>
          <w:szCs w:val="22"/>
        </w:rPr>
        <w:t>del Estado miembro del beneficiario con carácter supletorio.</w:t>
      </w:r>
    </w:p>
    <w:p w14:paraId="35811266"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val="pt-BR" w:eastAsia="zh-CN"/>
        </w:rPr>
      </w:pPr>
      <w:bookmarkStart w:id="4" w:name="_Toc188613820"/>
      <w:bookmarkStart w:id="5" w:name="_Toc190347168"/>
      <w:r>
        <w:rPr>
          <w:rFonts w:ascii="Tahoma" w:eastAsia="Arial Unicode MS" w:hAnsi="Tahoma" w:cs="Tahoma"/>
          <w:b/>
          <w:color w:val="1F4E79" w:themeColor="accent1" w:themeShade="80"/>
          <w:sz w:val="22"/>
          <w:szCs w:val="22"/>
          <w:lang w:val="pt-BR" w:eastAsia="zh-CN"/>
        </w:rPr>
        <w:t>MODALIDADES DE SUBVENCIÓN</w:t>
      </w:r>
      <w:bookmarkEnd w:id="4"/>
      <w:bookmarkEnd w:id="5"/>
    </w:p>
    <w:p w14:paraId="33ABA627" w14:textId="77777777" w:rsidR="008523EB" w:rsidRDefault="00E4765A">
      <w:pPr>
        <w:spacing w:before="120" w:after="120"/>
        <w:rPr>
          <w:rFonts w:ascii="Tahoma" w:eastAsiaTheme="minorHAnsi" w:hAnsi="Tahoma" w:cs="Tahoma"/>
          <w:color w:val="000000" w:themeColor="text1"/>
          <w:sz w:val="22"/>
          <w:szCs w:val="22"/>
          <w:lang w:eastAsia="en-US"/>
        </w:rPr>
      </w:pPr>
      <w:r>
        <w:rPr>
          <w:rFonts w:ascii="Tahoma" w:eastAsiaTheme="minorHAnsi" w:hAnsi="Tahoma" w:cs="Tahoma"/>
          <w:color w:val="000000" w:themeColor="text1"/>
          <w:sz w:val="22"/>
          <w:szCs w:val="22"/>
          <w:lang w:eastAsia="en-US"/>
        </w:rPr>
        <w:t xml:space="preserve">De acuerdo con la letra e) del artículo 53 del Reglamento RDC, el programa utilizará una </w:t>
      </w:r>
      <w:r>
        <w:rPr>
          <w:rFonts w:ascii="Tahoma" w:eastAsiaTheme="minorHAnsi" w:hAnsi="Tahoma" w:cs="Tahoma"/>
          <w:b/>
          <w:bCs/>
          <w:color w:val="000000" w:themeColor="text1"/>
          <w:sz w:val="22"/>
          <w:szCs w:val="22"/>
          <w:lang w:eastAsia="en-US"/>
        </w:rPr>
        <w:t>combinación de las siguientes modalidades de subvención</w:t>
      </w:r>
      <w:r>
        <w:rPr>
          <w:rFonts w:ascii="Tahoma" w:eastAsiaTheme="minorHAnsi" w:hAnsi="Tahoma" w:cs="Tahoma"/>
          <w:color w:val="000000" w:themeColor="text1"/>
          <w:sz w:val="22"/>
          <w:szCs w:val="22"/>
          <w:lang w:eastAsia="en-US"/>
        </w:rPr>
        <w:t xml:space="preserve"> definidas en las letras a) a d) del citado reglamento:</w:t>
      </w:r>
    </w:p>
    <w:p w14:paraId="5B11EA80" w14:textId="77777777" w:rsidR="008523EB" w:rsidRDefault="00E4765A">
      <w:pPr>
        <w:pStyle w:val="Prrafodelista"/>
        <w:numPr>
          <w:ilvl w:val="0"/>
          <w:numId w:val="7"/>
        </w:numPr>
        <w:spacing w:before="120" w:after="120"/>
        <w:contextualSpacing w:val="0"/>
        <w:rPr>
          <w:rFonts w:ascii="Tahoma" w:eastAsiaTheme="minorHAnsi" w:hAnsi="Tahoma" w:cs="Tahoma"/>
          <w:sz w:val="22"/>
          <w:szCs w:val="22"/>
          <w:lang w:eastAsia="en-US"/>
        </w:rPr>
      </w:pPr>
      <w:r>
        <w:rPr>
          <w:rFonts w:ascii="Tahoma" w:eastAsiaTheme="minorHAnsi" w:hAnsi="Tahoma" w:cs="Tahoma"/>
          <w:color w:val="000000" w:themeColor="text1"/>
          <w:sz w:val="22"/>
          <w:szCs w:val="22"/>
          <w:lang w:eastAsia="en-US"/>
        </w:rPr>
        <w:t>reembolso de los costes subvencionables en que haya efectivamente incurrido un beneficiario</w:t>
      </w:r>
    </w:p>
    <w:p w14:paraId="595E2384" w14:textId="77777777" w:rsidR="008523EB" w:rsidRDefault="00E4765A">
      <w:pPr>
        <w:pStyle w:val="Prrafodelista"/>
        <w:numPr>
          <w:ilvl w:val="0"/>
          <w:numId w:val="7"/>
        </w:numPr>
        <w:spacing w:before="120" w:after="120"/>
        <w:contextualSpacing w:val="0"/>
        <w:rPr>
          <w:rFonts w:ascii="Tahoma" w:eastAsiaTheme="minorHAnsi" w:hAnsi="Tahoma" w:cs="Tahoma"/>
          <w:color w:val="000000" w:themeColor="text1"/>
          <w:sz w:val="22"/>
          <w:szCs w:val="22"/>
          <w:lang w:eastAsia="en-US"/>
        </w:rPr>
      </w:pPr>
      <w:r>
        <w:rPr>
          <w:rFonts w:ascii="Tahoma" w:eastAsiaTheme="minorHAnsi" w:hAnsi="Tahoma" w:cs="Tahoma"/>
          <w:color w:val="000000" w:themeColor="text1"/>
          <w:sz w:val="22"/>
          <w:szCs w:val="22"/>
          <w:lang w:eastAsia="en-US"/>
        </w:rPr>
        <w:t>costes unitarios</w:t>
      </w:r>
    </w:p>
    <w:p w14:paraId="0B8551D4" w14:textId="77777777" w:rsidR="008523EB" w:rsidRDefault="00E4765A">
      <w:pPr>
        <w:pStyle w:val="Prrafodelista"/>
        <w:numPr>
          <w:ilvl w:val="0"/>
          <w:numId w:val="7"/>
        </w:numPr>
        <w:spacing w:before="120" w:after="120"/>
        <w:contextualSpacing w:val="0"/>
        <w:rPr>
          <w:rFonts w:ascii="Tahoma" w:eastAsiaTheme="minorHAnsi" w:hAnsi="Tahoma" w:cs="Tahoma"/>
          <w:color w:val="000000" w:themeColor="text1"/>
          <w:sz w:val="22"/>
          <w:szCs w:val="22"/>
          <w:lang w:eastAsia="en-US"/>
        </w:rPr>
      </w:pPr>
      <w:r>
        <w:rPr>
          <w:rFonts w:ascii="Tahoma" w:eastAsiaTheme="minorHAnsi" w:hAnsi="Tahoma" w:cs="Tahoma"/>
          <w:color w:val="000000" w:themeColor="text1"/>
          <w:sz w:val="22"/>
          <w:szCs w:val="22"/>
          <w:lang w:eastAsia="en-US"/>
        </w:rPr>
        <w:t>financiación a tipo fijo</w:t>
      </w:r>
    </w:p>
    <w:p w14:paraId="14A0E173"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val="pt-BR" w:eastAsia="zh-CN"/>
        </w:rPr>
      </w:pPr>
      <w:bookmarkStart w:id="6" w:name="_Toc188613821"/>
      <w:bookmarkStart w:id="7" w:name="_Toc190347169"/>
      <w:r>
        <w:rPr>
          <w:rFonts w:ascii="Tahoma" w:eastAsia="Arial Unicode MS" w:hAnsi="Tahoma" w:cs="Tahoma"/>
          <w:b/>
          <w:color w:val="1F4E79" w:themeColor="accent1" w:themeShade="80"/>
          <w:sz w:val="22"/>
          <w:szCs w:val="22"/>
          <w:lang w:val="pt-BR" w:eastAsia="zh-CN"/>
        </w:rPr>
        <w:t>CRITERIOS GENERALES.</w:t>
      </w:r>
      <w:bookmarkEnd w:id="6"/>
      <w:bookmarkEnd w:id="7"/>
    </w:p>
    <w:p w14:paraId="7AF5AB6D" w14:textId="77777777" w:rsidR="008523EB" w:rsidRDefault="00E4765A">
      <w:pPr>
        <w:pStyle w:val="Default"/>
        <w:spacing w:before="120" w:after="120"/>
        <w:jc w:val="both"/>
        <w:rPr>
          <w:bCs/>
          <w:sz w:val="22"/>
          <w:szCs w:val="22"/>
          <w:u w:val="single"/>
        </w:rPr>
      </w:pPr>
      <w:r>
        <w:rPr>
          <w:bCs/>
          <w:sz w:val="22"/>
          <w:szCs w:val="22"/>
        </w:rPr>
        <w:t xml:space="preserve">Para ser subvencionables, </w:t>
      </w:r>
      <w:r>
        <w:rPr>
          <w:bCs/>
          <w:sz w:val="22"/>
          <w:szCs w:val="22"/>
          <w:u w:val="single"/>
        </w:rPr>
        <w:t xml:space="preserve">todos los gastos deben contribuir a los objetivos del proyecto y del programa MAC, beneficiando al área geográfica de cooperación. </w:t>
      </w:r>
    </w:p>
    <w:p w14:paraId="3DBE6CB5" w14:textId="77777777" w:rsidR="008523EB" w:rsidRDefault="00E4765A">
      <w:pPr>
        <w:pStyle w:val="Textosinformato"/>
        <w:spacing w:before="120" w:after="120"/>
        <w:jc w:val="both"/>
        <w:rPr>
          <w:rFonts w:ascii="Tahoma" w:eastAsia="Times New Roman" w:hAnsi="Tahoma" w:cs="Tahoma"/>
          <w:color w:val="000000"/>
          <w:lang w:eastAsia="es-ES"/>
        </w:rPr>
      </w:pPr>
      <w:r>
        <w:rPr>
          <w:rFonts w:ascii="Tahoma" w:eastAsia="Times New Roman" w:hAnsi="Tahoma" w:cs="Tahoma"/>
          <w:color w:val="000000"/>
          <w:lang w:eastAsia="es-ES"/>
        </w:rPr>
        <w:t>Los beneficiarios del FEDER podrán realizar gastos de ejecución del proyecto en el territorio de los países terceros socios del programa o en cualquier otro territorio, dentro o fuera de la Unión Europea, siempre que dichas operaciones contribuyan a los objetivos del programa MAC (artículo 37.1 del Reglamento Interreg).</w:t>
      </w:r>
    </w:p>
    <w:p w14:paraId="4D5D3C30" w14:textId="77777777" w:rsidR="008523EB" w:rsidRDefault="00E4765A">
      <w:pPr>
        <w:pStyle w:val="Default"/>
        <w:spacing w:before="120" w:after="120"/>
        <w:jc w:val="both"/>
        <w:rPr>
          <w:sz w:val="22"/>
          <w:szCs w:val="22"/>
          <w:u w:val="single"/>
        </w:rPr>
      </w:pPr>
      <w:r>
        <w:rPr>
          <w:sz w:val="22"/>
          <w:szCs w:val="22"/>
        </w:rPr>
        <w:t xml:space="preserve">Todo gasto debe respetar los siguientes </w:t>
      </w:r>
      <w:r>
        <w:rPr>
          <w:b/>
          <w:sz w:val="22"/>
          <w:szCs w:val="22"/>
          <w:u w:val="single"/>
        </w:rPr>
        <w:t>criterios generales para ser subvencionable</w:t>
      </w:r>
      <w:r>
        <w:rPr>
          <w:sz w:val="22"/>
          <w:szCs w:val="22"/>
          <w:u w:val="single"/>
        </w:rPr>
        <w:t xml:space="preserve">: </w:t>
      </w:r>
    </w:p>
    <w:p w14:paraId="0CDACE83" w14:textId="77777777" w:rsidR="008523EB" w:rsidRDefault="00E4765A">
      <w:pPr>
        <w:pStyle w:val="Default"/>
        <w:numPr>
          <w:ilvl w:val="0"/>
          <w:numId w:val="8"/>
        </w:numPr>
        <w:spacing w:before="120" w:after="120"/>
        <w:jc w:val="both"/>
        <w:rPr>
          <w:sz w:val="22"/>
          <w:szCs w:val="22"/>
        </w:rPr>
      </w:pPr>
      <w:r>
        <w:rPr>
          <w:sz w:val="22"/>
          <w:szCs w:val="22"/>
        </w:rPr>
        <w:lastRenderedPageBreak/>
        <w:t xml:space="preserve">Debe estar </w:t>
      </w:r>
      <w:r>
        <w:rPr>
          <w:b/>
          <w:bCs/>
          <w:sz w:val="22"/>
          <w:szCs w:val="22"/>
        </w:rPr>
        <w:t xml:space="preserve">directamente relacionado </w:t>
      </w:r>
      <w:r>
        <w:rPr>
          <w:sz w:val="22"/>
          <w:szCs w:val="22"/>
        </w:rPr>
        <w:t xml:space="preserve">con la ejecución de las </w:t>
      </w:r>
      <w:r>
        <w:rPr>
          <w:b/>
          <w:bCs/>
          <w:sz w:val="22"/>
          <w:szCs w:val="22"/>
        </w:rPr>
        <w:t xml:space="preserve">actividades aprobadas </w:t>
      </w:r>
      <w:r>
        <w:rPr>
          <w:sz w:val="22"/>
          <w:szCs w:val="22"/>
        </w:rPr>
        <w:t xml:space="preserve">en el proyecto. </w:t>
      </w:r>
    </w:p>
    <w:p w14:paraId="41313F99" w14:textId="77777777" w:rsidR="008523EB" w:rsidRDefault="00E4765A">
      <w:pPr>
        <w:pStyle w:val="Default"/>
        <w:numPr>
          <w:ilvl w:val="0"/>
          <w:numId w:val="8"/>
        </w:numPr>
        <w:spacing w:before="120" w:after="120"/>
        <w:jc w:val="both"/>
        <w:rPr>
          <w:color w:val="auto"/>
          <w:sz w:val="22"/>
          <w:szCs w:val="22"/>
        </w:rPr>
      </w:pPr>
      <w:r>
        <w:rPr>
          <w:color w:val="auto"/>
          <w:sz w:val="22"/>
          <w:szCs w:val="22"/>
        </w:rPr>
        <w:t>Debe estar previsto en el Formulario de Candidatura aprobado, en caso contrario, debe justificarse debidamente su necesidad para el cumplir los objetivos previstos"</w:t>
      </w:r>
    </w:p>
    <w:p w14:paraId="1961996A" w14:textId="77777777" w:rsidR="008523EB" w:rsidRDefault="00E4765A">
      <w:pPr>
        <w:pStyle w:val="Default"/>
        <w:numPr>
          <w:ilvl w:val="0"/>
          <w:numId w:val="8"/>
        </w:numPr>
        <w:spacing w:before="120" w:after="120"/>
        <w:jc w:val="both"/>
        <w:rPr>
          <w:sz w:val="22"/>
          <w:szCs w:val="22"/>
        </w:rPr>
      </w:pPr>
      <w:r>
        <w:rPr>
          <w:sz w:val="22"/>
          <w:szCs w:val="22"/>
        </w:rPr>
        <w:t xml:space="preserve">Debe cumplir los criterios de </w:t>
      </w:r>
      <w:r>
        <w:rPr>
          <w:b/>
          <w:bCs/>
          <w:sz w:val="22"/>
          <w:szCs w:val="22"/>
        </w:rPr>
        <w:t>eficiencia</w:t>
      </w:r>
      <w:r>
        <w:rPr>
          <w:sz w:val="22"/>
          <w:szCs w:val="22"/>
        </w:rPr>
        <w:t xml:space="preserve">, </w:t>
      </w:r>
      <w:r>
        <w:rPr>
          <w:b/>
          <w:bCs/>
          <w:sz w:val="22"/>
          <w:szCs w:val="22"/>
        </w:rPr>
        <w:t xml:space="preserve">economía </w:t>
      </w:r>
      <w:r>
        <w:rPr>
          <w:sz w:val="22"/>
          <w:szCs w:val="22"/>
        </w:rPr>
        <w:t xml:space="preserve">y </w:t>
      </w:r>
      <w:r>
        <w:rPr>
          <w:b/>
          <w:bCs/>
          <w:sz w:val="22"/>
          <w:szCs w:val="22"/>
        </w:rPr>
        <w:t>eficacia</w:t>
      </w:r>
      <w:r>
        <w:rPr>
          <w:sz w:val="22"/>
          <w:szCs w:val="22"/>
        </w:rPr>
        <w:t xml:space="preserve">. </w:t>
      </w:r>
    </w:p>
    <w:p w14:paraId="50474043" w14:textId="77777777" w:rsidR="008523EB" w:rsidRDefault="00E4765A">
      <w:pPr>
        <w:pStyle w:val="Default"/>
        <w:spacing w:before="120" w:after="120"/>
        <w:jc w:val="both"/>
        <w:rPr>
          <w:sz w:val="22"/>
          <w:szCs w:val="22"/>
        </w:rPr>
      </w:pPr>
      <w:r>
        <w:rPr>
          <w:sz w:val="22"/>
          <w:szCs w:val="22"/>
        </w:rPr>
        <w:t xml:space="preserve">Para los </w:t>
      </w:r>
      <w:r>
        <w:rPr>
          <w:b/>
          <w:sz w:val="22"/>
          <w:szCs w:val="22"/>
          <w:u w:val="single"/>
        </w:rPr>
        <w:t>gastos declarados a</w:t>
      </w:r>
      <w:r>
        <w:rPr>
          <w:sz w:val="22"/>
          <w:szCs w:val="22"/>
          <w:u w:val="single"/>
        </w:rPr>
        <w:t xml:space="preserve"> </w:t>
      </w:r>
      <w:r>
        <w:rPr>
          <w:b/>
          <w:sz w:val="22"/>
          <w:szCs w:val="22"/>
          <w:u w:val="single"/>
        </w:rPr>
        <w:t>coste real,</w:t>
      </w:r>
      <w:r>
        <w:rPr>
          <w:sz w:val="22"/>
          <w:szCs w:val="22"/>
        </w:rPr>
        <w:t xml:space="preserve"> el gasto: </w:t>
      </w:r>
    </w:p>
    <w:p w14:paraId="5879327D" w14:textId="77777777" w:rsidR="008523EB" w:rsidRDefault="00E4765A">
      <w:pPr>
        <w:pStyle w:val="Default"/>
        <w:numPr>
          <w:ilvl w:val="0"/>
          <w:numId w:val="9"/>
        </w:numPr>
        <w:spacing w:before="120" w:after="120"/>
        <w:jc w:val="both"/>
        <w:rPr>
          <w:sz w:val="22"/>
          <w:szCs w:val="22"/>
        </w:rPr>
      </w:pPr>
      <w:r>
        <w:rPr>
          <w:sz w:val="22"/>
          <w:szCs w:val="22"/>
        </w:rPr>
        <w:t xml:space="preserve">Debe ser </w:t>
      </w:r>
      <w:r>
        <w:rPr>
          <w:b/>
          <w:sz w:val="22"/>
          <w:szCs w:val="22"/>
        </w:rPr>
        <w:t>realizado</w:t>
      </w:r>
      <w:r>
        <w:rPr>
          <w:sz w:val="22"/>
          <w:szCs w:val="22"/>
        </w:rPr>
        <w:t xml:space="preserve"> </w:t>
      </w:r>
      <w:r>
        <w:rPr>
          <w:b/>
          <w:sz w:val="22"/>
          <w:szCs w:val="22"/>
        </w:rPr>
        <w:t>y efectivamente pagado por los beneficiarios</w:t>
      </w:r>
      <w:r>
        <w:rPr>
          <w:sz w:val="22"/>
          <w:szCs w:val="22"/>
        </w:rPr>
        <w:t>.</w:t>
      </w:r>
    </w:p>
    <w:p w14:paraId="3C92D1AF" w14:textId="77777777" w:rsidR="008523EB" w:rsidRDefault="00E4765A">
      <w:pPr>
        <w:pStyle w:val="Default"/>
        <w:numPr>
          <w:ilvl w:val="0"/>
          <w:numId w:val="9"/>
        </w:numPr>
        <w:spacing w:before="120" w:after="120"/>
        <w:ind w:left="709" w:hanging="425"/>
        <w:jc w:val="both"/>
        <w:rPr>
          <w:sz w:val="22"/>
          <w:szCs w:val="22"/>
        </w:rPr>
      </w:pPr>
      <w:r>
        <w:rPr>
          <w:color w:val="auto"/>
          <w:sz w:val="22"/>
          <w:szCs w:val="22"/>
        </w:rPr>
        <w:t xml:space="preserve">Debe ser realizado y pagado </w:t>
      </w:r>
      <w:r>
        <w:rPr>
          <w:b/>
          <w:bCs/>
          <w:color w:val="auto"/>
          <w:sz w:val="22"/>
          <w:szCs w:val="22"/>
        </w:rPr>
        <w:t xml:space="preserve">dentro del período de ejecución </w:t>
      </w:r>
      <w:r>
        <w:rPr>
          <w:color w:val="auto"/>
          <w:sz w:val="22"/>
          <w:szCs w:val="22"/>
        </w:rPr>
        <w:t xml:space="preserve">del proyecto (fechas de inicio y fin definidas en las bases de la convocatoria y en el contrato, respectivamente). </w:t>
      </w:r>
    </w:p>
    <w:p w14:paraId="6782EC1B" w14:textId="77777777" w:rsidR="008523EB" w:rsidRDefault="00E4765A">
      <w:pPr>
        <w:pStyle w:val="Default"/>
        <w:numPr>
          <w:ilvl w:val="0"/>
          <w:numId w:val="9"/>
        </w:numPr>
        <w:spacing w:before="120" w:after="120"/>
        <w:ind w:left="709" w:hanging="425"/>
        <w:jc w:val="both"/>
        <w:rPr>
          <w:sz w:val="22"/>
          <w:szCs w:val="22"/>
        </w:rPr>
      </w:pPr>
      <w:r>
        <w:rPr>
          <w:sz w:val="22"/>
          <w:szCs w:val="22"/>
        </w:rPr>
        <w:t xml:space="preserve">Debe ser </w:t>
      </w:r>
      <w:r>
        <w:rPr>
          <w:b/>
          <w:bCs/>
          <w:sz w:val="22"/>
          <w:szCs w:val="22"/>
        </w:rPr>
        <w:t>verificable</w:t>
      </w:r>
      <w:r>
        <w:rPr>
          <w:sz w:val="22"/>
          <w:szCs w:val="22"/>
        </w:rPr>
        <w:t xml:space="preserve">: debe existir constancia documental de su </w:t>
      </w:r>
      <w:r>
        <w:rPr>
          <w:sz w:val="22"/>
          <w:szCs w:val="22"/>
          <w:u w:val="single"/>
        </w:rPr>
        <w:t>realización, pago y contabilización, así como del proceso de contratación en su caso</w:t>
      </w:r>
      <w:r>
        <w:rPr>
          <w:sz w:val="22"/>
          <w:szCs w:val="22"/>
        </w:rPr>
        <w:t xml:space="preserve">. </w:t>
      </w:r>
    </w:p>
    <w:p w14:paraId="24A8B73B" w14:textId="77777777" w:rsidR="008523EB" w:rsidRDefault="00E4765A">
      <w:pPr>
        <w:pStyle w:val="Default"/>
        <w:numPr>
          <w:ilvl w:val="0"/>
          <w:numId w:val="9"/>
        </w:numPr>
        <w:spacing w:before="120" w:after="120"/>
        <w:jc w:val="both"/>
        <w:rPr>
          <w:sz w:val="22"/>
          <w:szCs w:val="22"/>
        </w:rPr>
      </w:pPr>
      <w:r>
        <w:rPr>
          <w:sz w:val="22"/>
          <w:szCs w:val="22"/>
          <w:u w:val="single"/>
        </w:rPr>
        <w:t>Debe estar reflejado en la contabilidad del beneficiario</w:t>
      </w:r>
      <w:r>
        <w:rPr>
          <w:sz w:val="22"/>
          <w:szCs w:val="22"/>
        </w:rPr>
        <w:t>, bien a través de un sistema de contabilidad separada o con una codificación adecuada que identifique los gastos del proyecto.</w:t>
      </w:r>
    </w:p>
    <w:p w14:paraId="778A09BA" w14:textId="77777777" w:rsidR="008523EB" w:rsidRDefault="00E4765A">
      <w:pPr>
        <w:pStyle w:val="Default"/>
        <w:numPr>
          <w:ilvl w:val="0"/>
          <w:numId w:val="9"/>
        </w:numPr>
        <w:spacing w:before="120" w:after="120"/>
        <w:jc w:val="both"/>
        <w:rPr>
          <w:color w:val="auto"/>
          <w:sz w:val="22"/>
          <w:szCs w:val="22"/>
        </w:rPr>
      </w:pPr>
      <w:r>
        <w:rPr>
          <w:color w:val="auto"/>
          <w:sz w:val="22"/>
          <w:szCs w:val="22"/>
        </w:rPr>
        <w:t>Debe respetar la normativa europea y nacional aplicable para cada gasto, especialmente las relativas a los contratos públicos incluida la subcontratación.</w:t>
      </w:r>
    </w:p>
    <w:p w14:paraId="05A426BA" w14:textId="77777777" w:rsidR="008523EB" w:rsidRDefault="00E4765A">
      <w:pPr>
        <w:pStyle w:val="Default"/>
        <w:numPr>
          <w:ilvl w:val="0"/>
          <w:numId w:val="9"/>
        </w:numPr>
        <w:spacing w:before="120" w:after="120"/>
        <w:jc w:val="both"/>
        <w:rPr>
          <w:color w:val="auto"/>
          <w:sz w:val="22"/>
          <w:szCs w:val="22"/>
        </w:rPr>
      </w:pPr>
      <w:r>
        <w:rPr>
          <w:sz w:val="22"/>
          <w:szCs w:val="22"/>
        </w:rPr>
        <w:t xml:space="preserve">Debe cumplir los principios de </w:t>
      </w:r>
      <w:r>
        <w:rPr>
          <w:b/>
          <w:bCs/>
          <w:sz w:val="22"/>
          <w:szCs w:val="22"/>
        </w:rPr>
        <w:t>transparencia</w:t>
      </w:r>
      <w:r>
        <w:rPr>
          <w:sz w:val="22"/>
          <w:szCs w:val="22"/>
        </w:rPr>
        <w:t xml:space="preserve">, </w:t>
      </w:r>
      <w:r>
        <w:rPr>
          <w:b/>
          <w:bCs/>
          <w:sz w:val="22"/>
          <w:szCs w:val="22"/>
        </w:rPr>
        <w:t xml:space="preserve">publicidad </w:t>
      </w:r>
      <w:r>
        <w:rPr>
          <w:sz w:val="22"/>
          <w:szCs w:val="22"/>
        </w:rPr>
        <w:t xml:space="preserve">y </w:t>
      </w:r>
      <w:r>
        <w:rPr>
          <w:b/>
          <w:bCs/>
          <w:sz w:val="22"/>
          <w:szCs w:val="22"/>
        </w:rPr>
        <w:t>libre concurrencia.</w:t>
      </w:r>
    </w:p>
    <w:p w14:paraId="056E4E51" w14:textId="77777777" w:rsidR="008523EB" w:rsidRDefault="00E4765A">
      <w:pPr>
        <w:pStyle w:val="Default"/>
        <w:numPr>
          <w:ilvl w:val="0"/>
          <w:numId w:val="9"/>
        </w:numPr>
        <w:spacing w:before="120" w:after="120"/>
        <w:jc w:val="both"/>
        <w:rPr>
          <w:sz w:val="22"/>
          <w:szCs w:val="22"/>
        </w:rPr>
      </w:pPr>
      <w:r>
        <w:rPr>
          <w:sz w:val="22"/>
          <w:szCs w:val="22"/>
        </w:rPr>
        <w:t xml:space="preserve">Debe cumplir los </w:t>
      </w:r>
      <w:r>
        <w:rPr>
          <w:b/>
          <w:bCs/>
          <w:sz w:val="22"/>
          <w:szCs w:val="22"/>
        </w:rPr>
        <w:t xml:space="preserve">principios horizontales </w:t>
      </w:r>
      <w:r>
        <w:rPr>
          <w:sz w:val="22"/>
          <w:szCs w:val="22"/>
        </w:rPr>
        <w:t xml:space="preserve">en materia de igualdad entre hombres y mujeres, igualdad de oportunidades y no discriminación, accesibilidad </w:t>
      </w:r>
      <w:r>
        <w:rPr>
          <w:color w:val="auto"/>
          <w:sz w:val="22"/>
          <w:szCs w:val="22"/>
        </w:rPr>
        <w:t xml:space="preserve">de </w:t>
      </w:r>
      <w:r>
        <w:rPr>
          <w:sz w:val="22"/>
          <w:szCs w:val="22"/>
        </w:rPr>
        <w:t xml:space="preserve">personas con discapacidad y desarrollo sostenible. </w:t>
      </w:r>
    </w:p>
    <w:p w14:paraId="73BF3B5C" w14:textId="77777777" w:rsidR="008523EB" w:rsidRDefault="00E4765A">
      <w:pPr>
        <w:pStyle w:val="Default"/>
        <w:numPr>
          <w:ilvl w:val="0"/>
          <w:numId w:val="9"/>
        </w:numPr>
        <w:spacing w:before="120" w:after="120"/>
        <w:jc w:val="both"/>
        <w:rPr>
          <w:sz w:val="22"/>
          <w:szCs w:val="22"/>
        </w:rPr>
      </w:pPr>
      <w:r>
        <w:rPr>
          <w:sz w:val="22"/>
          <w:szCs w:val="22"/>
        </w:rPr>
        <w:t xml:space="preserve">Debe cumplir con las </w:t>
      </w:r>
      <w:r>
        <w:rPr>
          <w:b/>
          <w:bCs/>
          <w:sz w:val="22"/>
          <w:szCs w:val="22"/>
        </w:rPr>
        <w:t xml:space="preserve">normas de Visibilidad, Transparencia y Comunicación </w:t>
      </w:r>
      <w:r>
        <w:rPr>
          <w:bCs/>
          <w:sz w:val="22"/>
          <w:szCs w:val="22"/>
        </w:rPr>
        <w:t>del programa</w:t>
      </w:r>
      <w:r>
        <w:rPr>
          <w:b/>
          <w:bCs/>
          <w:sz w:val="22"/>
          <w:szCs w:val="22"/>
        </w:rPr>
        <w:t>.</w:t>
      </w:r>
    </w:p>
    <w:p w14:paraId="0A5532A2" w14:textId="77777777" w:rsidR="008523EB" w:rsidRDefault="00E4765A">
      <w:pPr>
        <w:pStyle w:val="Default"/>
        <w:numPr>
          <w:ilvl w:val="0"/>
          <w:numId w:val="9"/>
        </w:numPr>
        <w:spacing w:before="120" w:after="120"/>
        <w:jc w:val="both"/>
        <w:rPr>
          <w:sz w:val="22"/>
          <w:szCs w:val="22"/>
        </w:rPr>
      </w:pPr>
      <w:r>
        <w:rPr>
          <w:b/>
          <w:bCs/>
          <w:sz w:val="22"/>
          <w:szCs w:val="22"/>
        </w:rPr>
        <w:t xml:space="preserve">No debe haber sido financiado </w:t>
      </w:r>
      <w:r>
        <w:rPr>
          <w:b/>
          <w:bCs/>
          <w:color w:val="auto"/>
          <w:sz w:val="22"/>
          <w:szCs w:val="22"/>
        </w:rPr>
        <w:t xml:space="preserve">ni </w:t>
      </w:r>
      <w:r>
        <w:rPr>
          <w:sz w:val="22"/>
          <w:szCs w:val="22"/>
        </w:rPr>
        <w:t>total ni parcialmente por fondos europeos, ya sea por otros fondos o por el mismo fondo en el marco de otro Programa o proyecto</w:t>
      </w:r>
      <w:r>
        <w:rPr>
          <w:color w:val="auto"/>
          <w:sz w:val="22"/>
          <w:szCs w:val="22"/>
        </w:rPr>
        <w:t xml:space="preserve">. </w:t>
      </w:r>
    </w:p>
    <w:p w14:paraId="01842E39" w14:textId="77777777" w:rsidR="008523EB" w:rsidRDefault="00E4765A">
      <w:pPr>
        <w:pStyle w:val="Default"/>
        <w:numPr>
          <w:ilvl w:val="0"/>
          <w:numId w:val="9"/>
        </w:numPr>
        <w:spacing w:before="120" w:after="120"/>
        <w:jc w:val="both"/>
        <w:rPr>
          <w:sz w:val="22"/>
          <w:szCs w:val="22"/>
        </w:rPr>
      </w:pPr>
      <w:r>
        <w:rPr>
          <w:color w:val="auto"/>
          <w:sz w:val="22"/>
          <w:szCs w:val="22"/>
        </w:rPr>
        <w:t>En caso de financiación nacional (estatal, autonómica, local u otras) se deducirá del gasto declarado.   No obstante, para costes de equipamientos declarados por coste amortización no se permite en ningún caso que el bien haya sido adquirido con ningún tipo de subvención (Ver ficha 5 Gastos de Equipos y apartado 2, artículo 67 del Reglamento General 2021/1060)</w:t>
      </w:r>
    </w:p>
    <w:p w14:paraId="46EDEB1E" w14:textId="77777777" w:rsidR="008523EB" w:rsidRDefault="00E4765A">
      <w:pPr>
        <w:pStyle w:val="Default"/>
        <w:numPr>
          <w:ilvl w:val="0"/>
          <w:numId w:val="9"/>
        </w:numPr>
        <w:spacing w:before="120" w:after="120"/>
        <w:jc w:val="both"/>
        <w:rPr>
          <w:color w:val="auto"/>
          <w:sz w:val="22"/>
          <w:szCs w:val="22"/>
        </w:rPr>
      </w:pPr>
      <w:r>
        <w:rPr>
          <w:sz w:val="22"/>
          <w:szCs w:val="22"/>
        </w:rPr>
        <w:t xml:space="preserve">Deben ser </w:t>
      </w:r>
      <w:r>
        <w:rPr>
          <w:color w:val="auto"/>
          <w:sz w:val="22"/>
          <w:szCs w:val="22"/>
        </w:rPr>
        <w:t>incorporados, junto con su documentación justificativa, en el sistema informático de gestión del programa (e-MAC).</w:t>
      </w:r>
    </w:p>
    <w:p w14:paraId="3061B066" w14:textId="77777777" w:rsidR="008523EB" w:rsidRDefault="00E4765A">
      <w:pPr>
        <w:pStyle w:val="Default"/>
        <w:spacing w:before="120" w:after="120"/>
        <w:jc w:val="both"/>
        <w:rPr>
          <w:sz w:val="22"/>
          <w:szCs w:val="22"/>
        </w:rPr>
      </w:pPr>
      <w:r>
        <w:rPr>
          <w:sz w:val="22"/>
          <w:szCs w:val="22"/>
        </w:rPr>
        <w:t xml:space="preserve">Para </w:t>
      </w:r>
      <w:r>
        <w:rPr>
          <w:b/>
          <w:sz w:val="22"/>
          <w:szCs w:val="22"/>
        </w:rPr>
        <w:t>todas las categorías de gastos</w:t>
      </w:r>
      <w:r>
        <w:rPr>
          <w:sz w:val="22"/>
          <w:szCs w:val="22"/>
        </w:rPr>
        <w:t>, la documentación a aportar se especifica en el apartado “pista de auditoría” de las fichas técnicas anexas por categorías de gastos.</w:t>
      </w:r>
    </w:p>
    <w:p w14:paraId="2EB8F779" w14:textId="77777777" w:rsidR="008523EB" w:rsidRDefault="008523EB">
      <w:pPr>
        <w:pStyle w:val="Default"/>
        <w:spacing w:before="120" w:after="120"/>
        <w:jc w:val="both"/>
        <w:rPr>
          <w:sz w:val="22"/>
          <w:szCs w:val="22"/>
        </w:rPr>
      </w:pPr>
    </w:p>
    <w:p w14:paraId="08FA9C33"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val="pt-BR" w:eastAsia="zh-CN"/>
        </w:rPr>
      </w:pPr>
      <w:bookmarkStart w:id="8" w:name="_Toc188613822"/>
      <w:bookmarkStart w:id="9" w:name="_Toc190347170"/>
      <w:r>
        <w:rPr>
          <w:rFonts w:ascii="Tahoma" w:eastAsia="Arial Unicode MS" w:hAnsi="Tahoma" w:cs="Tahoma"/>
          <w:b/>
          <w:color w:val="1F4E79" w:themeColor="accent1" w:themeShade="80"/>
          <w:sz w:val="22"/>
          <w:szCs w:val="22"/>
          <w:lang w:val="pt-BR" w:eastAsia="zh-CN"/>
        </w:rPr>
        <w:t>GASTOS SUBVENCIONABLES.</w:t>
      </w:r>
      <w:bookmarkEnd w:id="8"/>
      <w:bookmarkEnd w:id="9"/>
    </w:p>
    <w:p w14:paraId="11470FB2" w14:textId="77777777" w:rsidR="008523EB" w:rsidRDefault="00E4765A">
      <w:pPr>
        <w:pStyle w:val="Default"/>
        <w:spacing w:before="120" w:after="120"/>
        <w:jc w:val="both"/>
        <w:rPr>
          <w:color w:val="auto"/>
          <w:sz w:val="22"/>
          <w:szCs w:val="22"/>
        </w:rPr>
      </w:pPr>
      <w:r>
        <w:rPr>
          <w:sz w:val="22"/>
          <w:szCs w:val="22"/>
        </w:rPr>
        <w:t xml:space="preserve">Se consideran </w:t>
      </w:r>
      <w:r>
        <w:rPr>
          <w:sz w:val="22"/>
          <w:szCs w:val="22"/>
          <w:u w:val="single"/>
        </w:rPr>
        <w:t>gastos subvencionables con cargo al FEDER</w:t>
      </w:r>
      <w:r>
        <w:rPr>
          <w:sz w:val="22"/>
          <w:szCs w:val="22"/>
        </w:rPr>
        <w:t xml:space="preserve"> a los efectos del programa MAC </w:t>
      </w:r>
      <w:r>
        <w:rPr>
          <w:color w:val="auto"/>
          <w:sz w:val="22"/>
          <w:szCs w:val="22"/>
        </w:rPr>
        <w:t>los siguientes:</w:t>
      </w:r>
    </w:p>
    <w:p w14:paraId="6E31D7DC" w14:textId="77777777" w:rsidR="008523EB" w:rsidRDefault="00E4765A">
      <w:pPr>
        <w:pStyle w:val="Default"/>
        <w:numPr>
          <w:ilvl w:val="0"/>
          <w:numId w:val="1"/>
        </w:numPr>
        <w:spacing w:before="120" w:after="120"/>
        <w:jc w:val="both"/>
        <w:rPr>
          <w:color w:val="auto"/>
          <w:sz w:val="22"/>
          <w:szCs w:val="22"/>
        </w:rPr>
      </w:pPr>
      <w:r>
        <w:rPr>
          <w:color w:val="auto"/>
          <w:sz w:val="22"/>
          <w:szCs w:val="22"/>
        </w:rPr>
        <w:lastRenderedPageBreak/>
        <w:t>inversiones en infraestructuras;</w:t>
      </w:r>
    </w:p>
    <w:p w14:paraId="0932F59B"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actividades para la investigación aplicada y la innovación, en particular la investigación industrial, el desarrollo experimental y los estudios de viabilidad; </w:t>
      </w:r>
    </w:p>
    <w:p w14:paraId="0304F755"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inversiones en el acceso a los servicios; </w:t>
      </w:r>
    </w:p>
    <w:p w14:paraId="709117F2"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inversiones productivas en pymes e inversiones con objeto de salvaguardar el empleo existente y crear nuevos empleos; </w:t>
      </w:r>
    </w:p>
    <w:p w14:paraId="0950953B"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equipos, software y activos inmateriales; </w:t>
      </w:r>
    </w:p>
    <w:p w14:paraId="7379BBA4"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redes, cooperación, intercambio de experiencias y actividades que impliquen agrupaciones de innovación, en particular entre empresas, organizaciones de investigación y administraciones públicas; </w:t>
      </w:r>
    </w:p>
    <w:p w14:paraId="20208029"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información, comunicación y estudios, </w:t>
      </w:r>
    </w:p>
    <w:p w14:paraId="19E168DB" w14:textId="77777777" w:rsidR="008523EB" w:rsidRDefault="00E4765A">
      <w:pPr>
        <w:pStyle w:val="Default"/>
        <w:numPr>
          <w:ilvl w:val="0"/>
          <w:numId w:val="1"/>
        </w:numPr>
        <w:spacing w:before="120" w:after="120"/>
        <w:jc w:val="both"/>
        <w:rPr>
          <w:color w:val="auto"/>
          <w:sz w:val="22"/>
          <w:szCs w:val="22"/>
        </w:rPr>
      </w:pPr>
      <w:r>
        <w:rPr>
          <w:color w:val="auto"/>
          <w:sz w:val="22"/>
          <w:szCs w:val="22"/>
        </w:rPr>
        <w:t>asistencia técnica,</w:t>
      </w:r>
    </w:p>
    <w:p w14:paraId="778069BB" w14:textId="77777777" w:rsidR="008523EB" w:rsidRDefault="00E4765A">
      <w:pPr>
        <w:pStyle w:val="Default"/>
        <w:numPr>
          <w:ilvl w:val="0"/>
          <w:numId w:val="1"/>
        </w:numPr>
        <w:spacing w:before="120" w:after="120"/>
        <w:jc w:val="both"/>
        <w:rPr>
          <w:color w:val="auto"/>
          <w:sz w:val="22"/>
          <w:szCs w:val="22"/>
        </w:rPr>
      </w:pPr>
      <w:r>
        <w:rPr>
          <w:color w:val="auto"/>
          <w:sz w:val="22"/>
          <w:szCs w:val="22"/>
        </w:rPr>
        <w:t xml:space="preserve">la puesta en común de instalaciones y recursos humanos, </w:t>
      </w:r>
    </w:p>
    <w:p w14:paraId="1465126A" w14:textId="77777777" w:rsidR="008523EB" w:rsidRDefault="00E4765A">
      <w:pPr>
        <w:pStyle w:val="Default"/>
        <w:numPr>
          <w:ilvl w:val="0"/>
          <w:numId w:val="1"/>
        </w:numPr>
        <w:spacing w:before="120" w:after="120"/>
        <w:jc w:val="both"/>
        <w:rPr>
          <w:color w:val="auto"/>
          <w:sz w:val="22"/>
          <w:szCs w:val="22"/>
        </w:rPr>
      </w:pPr>
      <w:r>
        <w:rPr>
          <w:color w:val="auto"/>
          <w:sz w:val="22"/>
          <w:szCs w:val="22"/>
        </w:rPr>
        <w:t>impuesto sobre el valor añadido (IVA) o impuesto equivalente:</w:t>
      </w:r>
    </w:p>
    <w:p w14:paraId="04801A25" w14:textId="77777777" w:rsidR="008523EB" w:rsidRDefault="00E4765A">
      <w:pPr>
        <w:pStyle w:val="Default"/>
        <w:spacing w:before="120" w:after="120"/>
        <w:ind w:left="1080"/>
        <w:jc w:val="both"/>
        <w:rPr>
          <w:color w:val="auto"/>
          <w:sz w:val="22"/>
          <w:szCs w:val="22"/>
        </w:rPr>
      </w:pPr>
      <w:r>
        <w:rPr>
          <w:color w:val="auto"/>
          <w:sz w:val="22"/>
          <w:szCs w:val="22"/>
        </w:rPr>
        <w:t xml:space="preserve">1.      Será subvencionable para los beneficiarios que no tengan la condición de empresa privada siempre que los proyectos tengan un coste inferior a 5.000.000 € (IVA incluido), </w:t>
      </w:r>
    </w:p>
    <w:p w14:paraId="4177A24E" w14:textId="77777777" w:rsidR="008523EB" w:rsidRDefault="00E4765A">
      <w:pPr>
        <w:pStyle w:val="Default"/>
        <w:spacing w:before="120" w:after="120"/>
        <w:ind w:left="1080"/>
        <w:jc w:val="both"/>
        <w:rPr>
          <w:color w:val="auto"/>
          <w:sz w:val="22"/>
          <w:szCs w:val="22"/>
        </w:rPr>
      </w:pPr>
      <w:r>
        <w:rPr>
          <w:color w:val="auto"/>
          <w:sz w:val="22"/>
          <w:szCs w:val="22"/>
        </w:rPr>
        <w:t>2.      Sólo será subvencionable para los beneficiarios que tengan la condición de empresa privada y, por tanto, reciban financiación acogida al Reglamento (UE) 651/2014 de Exención por categorías (REGC), en el caso de que no sea recuperable, para lo cual deberán acreditar la situación de sujeción, exención o prorrata aplicable.</w:t>
      </w:r>
    </w:p>
    <w:p w14:paraId="259A7243" w14:textId="77777777" w:rsidR="008523EB" w:rsidRDefault="008523EB">
      <w:pPr>
        <w:pStyle w:val="Default"/>
        <w:spacing w:before="120" w:after="120"/>
        <w:ind w:left="1080"/>
        <w:jc w:val="both"/>
        <w:rPr>
          <w:color w:val="auto"/>
          <w:sz w:val="22"/>
          <w:szCs w:val="22"/>
        </w:rPr>
      </w:pPr>
    </w:p>
    <w:p w14:paraId="311E4BB5"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val="pt-BR" w:eastAsia="zh-CN"/>
        </w:rPr>
      </w:pPr>
      <w:bookmarkStart w:id="10" w:name="_Toc188613823"/>
      <w:bookmarkStart w:id="11" w:name="_Toc190347171"/>
      <w:r>
        <w:rPr>
          <w:rFonts w:ascii="Tahoma" w:eastAsia="Arial Unicode MS" w:hAnsi="Tahoma" w:cs="Tahoma"/>
          <w:b/>
          <w:color w:val="1F4E79" w:themeColor="accent1" w:themeShade="80"/>
          <w:sz w:val="22"/>
          <w:szCs w:val="22"/>
          <w:lang w:val="pt-BR" w:eastAsia="zh-CN"/>
        </w:rPr>
        <w:t>GASTOS NO SUBVENCIONABLES.</w:t>
      </w:r>
      <w:bookmarkEnd w:id="10"/>
      <w:bookmarkEnd w:id="11"/>
    </w:p>
    <w:p w14:paraId="724B30A6" w14:textId="77777777" w:rsidR="008523EB" w:rsidRDefault="00E4765A">
      <w:pPr>
        <w:spacing w:before="120" w:after="120"/>
        <w:rPr>
          <w:rFonts w:ascii="Tahoma" w:eastAsiaTheme="minorHAnsi" w:hAnsi="Tahoma" w:cs="Tahoma"/>
          <w:sz w:val="22"/>
          <w:szCs w:val="22"/>
          <w:lang w:eastAsia="en-US"/>
        </w:rPr>
      </w:pPr>
      <w:r>
        <w:rPr>
          <w:rFonts w:ascii="Tahoma" w:eastAsiaTheme="minorHAnsi" w:hAnsi="Tahoma" w:cs="Tahoma"/>
          <w:sz w:val="22"/>
          <w:szCs w:val="22"/>
          <w:lang w:eastAsia="en-US"/>
        </w:rPr>
        <w:t>De conformidad con los Reglamentos europeos mencionados anteriormente no serán subvencionables:</w:t>
      </w:r>
    </w:p>
    <w:p w14:paraId="49963E99" w14:textId="77777777" w:rsidR="008523EB" w:rsidRDefault="00E4765A">
      <w:pPr>
        <w:pStyle w:val="Default"/>
        <w:numPr>
          <w:ilvl w:val="0"/>
          <w:numId w:val="10"/>
        </w:numPr>
        <w:spacing w:before="120" w:after="120"/>
        <w:jc w:val="both"/>
        <w:rPr>
          <w:color w:val="auto"/>
          <w:sz w:val="22"/>
          <w:szCs w:val="22"/>
        </w:rPr>
      </w:pPr>
      <w:r>
        <w:rPr>
          <w:color w:val="auto"/>
          <w:sz w:val="22"/>
          <w:szCs w:val="22"/>
        </w:rPr>
        <w:t xml:space="preserve">Los intereses de la deuda. </w:t>
      </w:r>
    </w:p>
    <w:p w14:paraId="23EC5BCF" w14:textId="77777777" w:rsidR="008523EB" w:rsidRDefault="00E4765A">
      <w:pPr>
        <w:pStyle w:val="Default"/>
        <w:numPr>
          <w:ilvl w:val="0"/>
          <w:numId w:val="10"/>
        </w:numPr>
        <w:spacing w:before="120" w:after="120"/>
        <w:jc w:val="both"/>
        <w:rPr>
          <w:sz w:val="22"/>
          <w:szCs w:val="22"/>
        </w:rPr>
      </w:pPr>
      <w:r>
        <w:rPr>
          <w:color w:val="auto"/>
          <w:sz w:val="22"/>
          <w:szCs w:val="22"/>
        </w:rPr>
        <w:t>Las inversiones específicas excluidas por el artículo 7.1 del Reglamento (UE) 2021/1058.</w:t>
      </w:r>
    </w:p>
    <w:p w14:paraId="3D8AE113" w14:textId="77777777" w:rsidR="008523EB" w:rsidRDefault="00E4765A">
      <w:pPr>
        <w:pStyle w:val="Default"/>
        <w:numPr>
          <w:ilvl w:val="0"/>
          <w:numId w:val="10"/>
        </w:numPr>
        <w:spacing w:before="120" w:after="120"/>
        <w:jc w:val="both"/>
        <w:rPr>
          <w:sz w:val="22"/>
          <w:szCs w:val="22"/>
        </w:rPr>
      </w:pPr>
      <w:r>
        <w:rPr>
          <w:sz w:val="22"/>
          <w:szCs w:val="22"/>
        </w:rPr>
        <w:t>Las multas, sanciones económicas y gasto sufragado por controversias jurídicas y litigios.</w:t>
      </w:r>
    </w:p>
    <w:p w14:paraId="13E97DAE" w14:textId="77777777" w:rsidR="008523EB" w:rsidRDefault="00E4765A">
      <w:pPr>
        <w:pStyle w:val="Default"/>
        <w:numPr>
          <w:ilvl w:val="0"/>
          <w:numId w:val="10"/>
        </w:numPr>
        <w:spacing w:before="120" w:after="120"/>
        <w:jc w:val="both"/>
        <w:rPr>
          <w:sz w:val="22"/>
          <w:szCs w:val="22"/>
        </w:rPr>
      </w:pPr>
      <w:r>
        <w:rPr>
          <w:sz w:val="22"/>
          <w:szCs w:val="22"/>
        </w:rPr>
        <w:t>Los gastos de donaciones.</w:t>
      </w:r>
    </w:p>
    <w:p w14:paraId="7F8745A3" w14:textId="77777777" w:rsidR="008523EB" w:rsidRDefault="00E4765A">
      <w:pPr>
        <w:pStyle w:val="Default"/>
        <w:numPr>
          <w:ilvl w:val="0"/>
          <w:numId w:val="10"/>
        </w:numPr>
        <w:spacing w:before="120" w:after="120"/>
        <w:jc w:val="both"/>
        <w:rPr>
          <w:sz w:val="22"/>
          <w:szCs w:val="22"/>
        </w:rPr>
      </w:pPr>
      <w:r>
        <w:rPr>
          <w:sz w:val="22"/>
          <w:szCs w:val="22"/>
        </w:rPr>
        <w:t>Los gastos relacionados con las fluctuaciones de los tipos de cambio de divisas.</w:t>
      </w:r>
    </w:p>
    <w:p w14:paraId="03877EB9" w14:textId="77777777" w:rsidR="008523EB" w:rsidRDefault="00E4765A">
      <w:pPr>
        <w:pStyle w:val="Default"/>
        <w:spacing w:before="120" w:after="120"/>
        <w:jc w:val="both"/>
        <w:rPr>
          <w:color w:val="auto"/>
          <w:sz w:val="22"/>
          <w:szCs w:val="22"/>
        </w:rPr>
      </w:pPr>
      <w:r>
        <w:rPr>
          <w:color w:val="auto"/>
          <w:sz w:val="22"/>
          <w:szCs w:val="22"/>
        </w:rPr>
        <w:t>Además de los anteriores, no se consideran subvencionables por decisión del Comité de Seguimiento:</w:t>
      </w:r>
    </w:p>
    <w:p w14:paraId="0015201B" w14:textId="77777777" w:rsidR="008523EB" w:rsidRDefault="00E4765A">
      <w:pPr>
        <w:pStyle w:val="Default"/>
        <w:numPr>
          <w:ilvl w:val="0"/>
          <w:numId w:val="2"/>
        </w:numPr>
        <w:spacing w:before="120" w:after="120"/>
        <w:jc w:val="both"/>
        <w:rPr>
          <w:color w:val="auto"/>
          <w:sz w:val="22"/>
          <w:szCs w:val="22"/>
        </w:rPr>
      </w:pPr>
      <w:r>
        <w:rPr>
          <w:color w:val="auto"/>
          <w:sz w:val="22"/>
          <w:szCs w:val="22"/>
        </w:rPr>
        <w:t>Las contribuciones en especie, por ejemplo, el trabajo voluntario no remunerado,</w:t>
      </w:r>
    </w:p>
    <w:p w14:paraId="457D5552" w14:textId="77777777" w:rsidR="008523EB" w:rsidRDefault="00E4765A">
      <w:pPr>
        <w:pStyle w:val="Default"/>
        <w:numPr>
          <w:ilvl w:val="0"/>
          <w:numId w:val="2"/>
        </w:numPr>
        <w:spacing w:before="120" w:after="120"/>
        <w:jc w:val="both"/>
        <w:rPr>
          <w:color w:val="auto"/>
          <w:sz w:val="22"/>
          <w:szCs w:val="22"/>
        </w:rPr>
      </w:pPr>
      <w:r>
        <w:rPr>
          <w:color w:val="auto"/>
          <w:sz w:val="22"/>
          <w:szCs w:val="22"/>
        </w:rPr>
        <w:t>Los gastos bancarios derivados de transacciones financieras,</w:t>
      </w:r>
    </w:p>
    <w:p w14:paraId="743EF664" w14:textId="77777777" w:rsidR="008523EB" w:rsidRDefault="00E4765A">
      <w:pPr>
        <w:pStyle w:val="Default"/>
        <w:numPr>
          <w:ilvl w:val="0"/>
          <w:numId w:val="2"/>
        </w:numPr>
        <w:spacing w:before="120" w:after="120"/>
        <w:ind w:left="714" w:hanging="357"/>
        <w:jc w:val="both"/>
        <w:rPr>
          <w:color w:val="auto"/>
          <w:sz w:val="22"/>
          <w:szCs w:val="22"/>
        </w:rPr>
      </w:pPr>
      <w:r>
        <w:rPr>
          <w:color w:val="auto"/>
          <w:sz w:val="22"/>
          <w:szCs w:val="22"/>
        </w:rPr>
        <w:lastRenderedPageBreak/>
        <w:t>Otras formas de ayuda como premios monetarios, ayudas reembolsables e instrumentos financieros,</w:t>
      </w:r>
    </w:p>
    <w:p w14:paraId="2E7F4C5F" w14:textId="77777777" w:rsidR="008523EB" w:rsidRDefault="00E4765A">
      <w:pPr>
        <w:pStyle w:val="Default"/>
        <w:numPr>
          <w:ilvl w:val="0"/>
          <w:numId w:val="2"/>
        </w:numPr>
        <w:spacing w:before="120" w:after="120"/>
        <w:ind w:left="714" w:hanging="357"/>
        <w:jc w:val="both"/>
        <w:rPr>
          <w:color w:val="auto"/>
          <w:sz w:val="22"/>
          <w:szCs w:val="22"/>
        </w:rPr>
      </w:pPr>
      <w:r>
        <w:rPr>
          <w:color w:val="auto"/>
          <w:sz w:val="22"/>
          <w:szCs w:val="22"/>
        </w:rPr>
        <w:t>Las primas extraordinarias, si están condicionadas por la aprobación o ejecución del proyecto,</w:t>
      </w:r>
    </w:p>
    <w:p w14:paraId="64A19DAB" w14:textId="77777777" w:rsidR="008523EB" w:rsidRPr="00782117" w:rsidRDefault="00E4765A">
      <w:pPr>
        <w:pStyle w:val="Default"/>
        <w:numPr>
          <w:ilvl w:val="0"/>
          <w:numId w:val="2"/>
        </w:numPr>
        <w:spacing w:before="120" w:after="120"/>
        <w:ind w:left="714" w:hanging="357"/>
        <w:jc w:val="both"/>
        <w:rPr>
          <w:color w:val="auto"/>
          <w:sz w:val="22"/>
          <w:szCs w:val="22"/>
        </w:rPr>
      </w:pPr>
      <w:r>
        <w:rPr>
          <w:color w:val="auto"/>
          <w:sz w:val="22"/>
          <w:szCs w:val="22"/>
        </w:rPr>
        <w:t>Los regalos</w:t>
      </w:r>
      <w:r w:rsidRPr="00782117">
        <w:rPr>
          <w:color w:val="auto"/>
          <w:sz w:val="22"/>
          <w:szCs w:val="22"/>
        </w:rPr>
        <w:t>, exceptuando el merchandising/material promocional y de comunicación vinculados directamente a los outputs o actividades del proyecto,</w:t>
      </w:r>
    </w:p>
    <w:p w14:paraId="272A9C10" w14:textId="77777777" w:rsidR="008523EB" w:rsidRDefault="00E4765A">
      <w:pPr>
        <w:pStyle w:val="Default"/>
        <w:numPr>
          <w:ilvl w:val="0"/>
          <w:numId w:val="2"/>
        </w:numPr>
        <w:spacing w:before="120" w:after="120"/>
        <w:ind w:left="714" w:hanging="357"/>
        <w:jc w:val="both"/>
        <w:rPr>
          <w:color w:val="auto"/>
          <w:sz w:val="22"/>
          <w:szCs w:val="22"/>
        </w:rPr>
      </w:pPr>
      <w:r>
        <w:rPr>
          <w:color w:val="auto"/>
          <w:sz w:val="22"/>
          <w:szCs w:val="22"/>
        </w:rPr>
        <w:t>La compra de terrenos,</w:t>
      </w:r>
    </w:p>
    <w:p w14:paraId="28B1DDB7" w14:textId="77777777" w:rsidR="008523EB" w:rsidRDefault="00E4765A">
      <w:pPr>
        <w:pStyle w:val="Prrafodelista"/>
        <w:numPr>
          <w:ilvl w:val="0"/>
          <w:numId w:val="2"/>
        </w:numPr>
        <w:spacing w:before="120" w:after="120"/>
        <w:ind w:left="714" w:hanging="357"/>
        <w:contextualSpacing w:val="0"/>
        <w:rPr>
          <w:rFonts w:ascii="Tahoma" w:eastAsiaTheme="minorHAnsi" w:hAnsi="Tahoma" w:cs="Tahoma"/>
          <w:sz w:val="22"/>
          <w:szCs w:val="22"/>
          <w:lang w:eastAsia="en-US"/>
        </w:rPr>
      </w:pPr>
      <w:r>
        <w:rPr>
          <w:rFonts w:ascii="Tahoma" w:eastAsiaTheme="minorHAnsi" w:hAnsi="Tahoma" w:cs="Tahoma"/>
          <w:sz w:val="22"/>
          <w:szCs w:val="22"/>
          <w:lang w:eastAsia="en-US"/>
        </w:rPr>
        <w:t>La contratación de servicios de profesionales externos y asesoramiento con trabajadores de alguna de las entidades beneficiarias del proyecto,</w:t>
      </w:r>
    </w:p>
    <w:p w14:paraId="4A938F65" w14:textId="77777777" w:rsidR="008523EB" w:rsidRDefault="00E4765A">
      <w:pPr>
        <w:pStyle w:val="Prrafodelista"/>
        <w:numPr>
          <w:ilvl w:val="0"/>
          <w:numId w:val="2"/>
        </w:numPr>
        <w:spacing w:before="120" w:after="120"/>
        <w:ind w:left="714" w:hanging="357"/>
        <w:contextualSpacing w:val="0"/>
        <w:rPr>
          <w:rFonts w:ascii="Tahoma" w:eastAsiaTheme="minorHAnsi" w:hAnsi="Tahoma" w:cs="Tahoma"/>
          <w:sz w:val="22"/>
          <w:szCs w:val="22"/>
          <w:lang w:eastAsia="en-US"/>
        </w:rPr>
      </w:pPr>
      <w:r>
        <w:rPr>
          <w:rFonts w:ascii="Tahoma" w:eastAsiaTheme="minorHAnsi" w:hAnsi="Tahoma" w:cs="Tahoma"/>
          <w:sz w:val="22"/>
          <w:szCs w:val="22"/>
          <w:lang w:eastAsia="en-US"/>
        </w:rPr>
        <w:t xml:space="preserve">Los gastos de adquisición de equipos de segunda mano, </w:t>
      </w:r>
    </w:p>
    <w:p w14:paraId="19F0EE56" w14:textId="77777777" w:rsidR="008523EB" w:rsidRDefault="00E4765A">
      <w:pPr>
        <w:pStyle w:val="Prrafodelista"/>
        <w:numPr>
          <w:ilvl w:val="0"/>
          <w:numId w:val="2"/>
        </w:numPr>
        <w:spacing w:before="120" w:after="120"/>
        <w:ind w:left="714" w:hanging="357"/>
        <w:contextualSpacing w:val="0"/>
        <w:rPr>
          <w:rFonts w:ascii="Tahoma" w:eastAsiaTheme="minorHAnsi" w:hAnsi="Tahoma" w:cs="Tahoma"/>
          <w:sz w:val="22"/>
          <w:szCs w:val="22"/>
          <w:lang w:eastAsia="en-US"/>
        </w:rPr>
      </w:pPr>
      <w:r>
        <w:rPr>
          <w:rFonts w:ascii="Tahoma" w:eastAsiaTheme="minorHAnsi" w:hAnsi="Tahoma" w:cs="Tahoma"/>
          <w:sz w:val="22"/>
          <w:szCs w:val="22"/>
          <w:lang w:eastAsia="en-US"/>
        </w:rPr>
        <w:t>Los gastos comunes. Se denomina gasto común a la realización de un gasto externalizado compartido por un conjunto de beneficiarios de un proyecto. Será un único beneficiario el que tendrá que llevar a cabo la contratación, ejecución y pago de las tareas comunes que beneficien al conjunto del partenariado; es decir, se podrán distribuir las acciones entre los miembros del partenariado pero no los costes asociados a las mismas.</w:t>
      </w:r>
    </w:p>
    <w:p w14:paraId="4AF40826" w14:textId="77777777" w:rsidR="008523EB" w:rsidRDefault="00E4765A">
      <w:pPr>
        <w:pStyle w:val="Prrafodelista"/>
        <w:numPr>
          <w:ilvl w:val="0"/>
          <w:numId w:val="2"/>
        </w:numPr>
        <w:suppressAutoHyphens w:val="0"/>
        <w:spacing w:before="120" w:after="120"/>
        <w:contextualSpacing w:val="0"/>
        <w:rPr>
          <w:rFonts w:ascii="Tahoma" w:eastAsiaTheme="minorHAnsi" w:hAnsi="Tahoma" w:cs="Tahoma"/>
          <w:sz w:val="22"/>
          <w:szCs w:val="22"/>
          <w:lang w:eastAsia="en-US"/>
        </w:rPr>
      </w:pPr>
      <w:r>
        <w:rPr>
          <w:rFonts w:ascii="Tahoma" w:eastAsiaTheme="minorHAnsi" w:hAnsi="Tahoma" w:cs="Tahoma"/>
          <w:sz w:val="22"/>
          <w:szCs w:val="22"/>
          <w:u w:val="single"/>
          <w:lang w:eastAsia="en-US"/>
        </w:rPr>
        <w:t>Los gastos por encomiendas/encargos realizados por entidades de Canarias</w:t>
      </w:r>
      <w:r>
        <w:rPr>
          <w:rFonts w:ascii="Tahoma" w:eastAsiaTheme="minorHAnsi" w:hAnsi="Tahoma" w:cs="Tahoma"/>
          <w:sz w:val="22"/>
          <w:szCs w:val="22"/>
          <w:lang w:eastAsia="en-US"/>
        </w:rPr>
        <w:t>, por lo que </w:t>
      </w:r>
      <w:r>
        <w:rPr>
          <w:rFonts w:ascii="Tahoma" w:eastAsiaTheme="minorHAnsi" w:hAnsi="Tahoma" w:cs="Tahoma"/>
          <w:bCs/>
          <w:sz w:val="22"/>
          <w:szCs w:val="22"/>
          <w:lang w:eastAsia="en-US"/>
        </w:rPr>
        <w:t>en caso de que algún socio prevea encargar trabajos a medios propios la entidad que realizará el trabajo deberá incluirse en el partenariado del proyecto con presupuesto propio (mediante solicitud de modificación),</w:t>
      </w:r>
      <w:r>
        <w:rPr>
          <w:rFonts w:ascii="Tahoma" w:eastAsiaTheme="minorHAnsi" w:hAnsi="Tahoma" w:cs="Tahoma"/>
          <w:sz w:val="22"/>
          <w:szCs w:val="22"/>
          <w:lang w:eastAsia="en-US"/>
        </w:rPr>
        <w:t xml:space="preserve"> detraído del presupuesto del socio que realizaría el encargo.</w:t>
      </w:r>
    </w:p>
    <w:p w14:paraId="0EE96868" w14:textId="77777777" w:rsidR="008523EB" w:rsidRDefault="008523EB">
      <w:pPr>
        <w:pStyle w:val="Prrafodelista"/>
        <w:suppressAutoHyphens w:val="0"/>
        <w:spacing w:before="120" w:after="120"/>
        <w:contextualSpacing w:val="0"/>
        <w:rPr>
          <w:rFonts w:ascii="Tahoma" w:eastAsiaTheme="minorHAnsi" w:hAnsi="Tahoma" w:cs="Tahoma"/>
          <w:sz w:val="22"/>
          <w:szCs w:val="22"/>
          <w:highlight w:val="yellow"/>
          <w:lang w:eastAsia="en-US"/>
        </w:rPr>
      </w:pPr>
    </w:p>
    <w:p w14:paraId="2B572604"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eastAsia="zh-CN"/>
        </w:rPr>
      </w:pPr>
      <w:bookmarkStart w:id="12" w:name="_Toc188613824"/>
      <w:bookmarkStart w:id="13" w:name="_Toc190347172"/>
      <w:r>
        <w:rPr>
          <w:rFonts w:ascii="Tahoma" w:eastAsia="Arial Unicode MS" w:hAnsi="Tahoma" w:cs="Tahoma"/>
          <w:b/>
          <w:color w:val="1F4E79" w:themeColor="accent1" w:themeShade="80"/>
          <w:sz w:val="22"/>
          <w:szCs w:val="22"/>
          <w:lang w:eastAsia="zh-CN"/>
        </w:rPr>
        <w:t>CATEGORÍAS DE GASTO SUBVENCIONABLES</w:t>
      </w:r>
      <w:bookmarkEnd w:id="12"/>
      <w:bookmarkEnd w:id="13"/>
    </w:p>
    <w:p w14:paraId="495A1ED3" w14:textId="77777777" w:rsidR="008523EB" w:rsidRDefault="00E4765A">
      <w:pPr>
        <w:pStyle w:val="Default"/>
        <w:spacing w:before="120" w:after="120"/>
        <w:jc w:val="both"/>
        <w:rPr>
          <w:sz w:val="22"/>
          <w:szCs w:val="22"/>
        </w:rPr>
      </w:pPr>
      <w:r>
        <w:rPr>
          <w:color w:val="auto"/>
          <w:sz w:val="22"/>
          <w:szCs w:val="22"/>
        </w:rPr>
        <w:t xml:space="preserve">De conformidad con lo previsto en los artículos 39 a 44 del Reglamento (UE) nº 2021/1059 sobre disposiciones específicas para el objetivo de cooperación territorial europea (Interreg), se establecen las siguientes </w:t>
      </w:r>
      <w:r>
        <w:rPr>
          <w:sz w:val="22"/>
          <w:szCs w:val="22"/>
        </w:rPr>
        <w:t>categorías de gasto:</w:t>
      </w:r>
    </w:p>
    <w:p w14:paraId="215D6769" w14:textId="77777777" w:rsidR="008523EB" w:rsidRDefault="00E4765A">
      <w:pPr>
        <w:pStyle w:val="Prrafodelista"/>
        <w:numPr>
          <w:ilvl w:val="0"/>
          <w:numId w:val="3"/>
        </w:numPr>
        <w:spacing w:before="120" w:after="120"/>
        <w:contextualSpacing w:val="0"/>
        <w:rPr>
          <w:rFonts w:ascii="Tahoma" w:eastAsiaTheme="minorHAnsi" w:hAnsi="Tahoma" w:cs="Tahoma"/>
          <w:b/>
          <w:color w:val="000000"/>
          <w:sz w:val="22"/>
          <w:szCs w:val="22"/>
          <w:lang w:eastAsia="en-US"/>
        </w:rPr>
      </w:pPr>
      <w:r>
        <w:rPr>
          <w:rFonts w:ascii="Tahoma" w:eastAsiaTheme="minorHAnsi" w:hAnsi="Tahoma" w:cs="Tahoma"/>
          <w:b/>
          <w:color w:val="000000"/>
          <w:sz w:val="22"/>
          <w:szCs w:val="22"/>
          <w:lang w:eastAsia="en-US"/>
        </w:rPr>
        <w:t>Costes de personal,</w:t>
      </w:r>
    </w:p>
    <w:p w14:paraId="1754EA0F" w14:textId="77777777" w:rsidR="008523EB" w:rsidRDefault="00E4765A">
      <w:pPr>
        <w:pStyle w:val="Prrafodelista"/>
        <w:numPr>
          <w:ilvl w:val="0"/>
          <w:numId w:val="3"/>
        </w:numPr>
        <w:spacing w:before="120" w:after="120"/>
        <w:contextualSpacing w:val="0"/>
        <w:rPr>
          <w:rFonts w:ascii="Tahoma" w:eastAsiaTheme="minorHAnsi" w:hAnsi="Tahoma" w:cs="Tahoma"/>
          <w:b/>
          <w:color w:val="000000"/>
          <w:sz w:val="22"/>
          <w:szCs w:val="22"/>
          <w:lang w:eastAsia="en-US"/>
        </w:rPr>
      </w:pPr>
      <w:r>
        <w:rPr>
          <w:rFonts w:ascii="Tahoma" w:eastAsiaTheme="minorHAnsi" w:hAnsi="Tahoma" w:cs="Tahoma"/>
          <w:b/>
          <w:color w:val="000000"/>
          <w:sz w:val="22"/>
          <w:szCs w:val="22"/>
          <w:lang w:eastAsia="en-US"/>
        </w:rPr>
        <w:t>Gastos de oficina y administrativos,</w:t>
      </w:r>
      <w:r>
        <w:rPr>
          <w:rFonts w:ascii="Tahoma" w:eastAsiaTheme="minorHAnsi" w:hAnsi="Tahoma" w:cs="Tahoma"/>
          <w:b/>
          <w:strike/>
          <w:color w:val="000000"/>
          <w:sz w:val="22"/>
          <w:szCs w:val="22"/>
          <w:lang w:eastAsia="en-US"/>
        </w:rPr>
        <w:t xml:space="preserve"> </w:t>
      </w:r>
    </w:p>
    <w:p w14:paraId="2FA3FCCB" w14:textId="77777777" w:rsidR="008523EB" w:rsidRDefault="00E4765A">
      <w:pPr>
        <w:pStyle w:val="Default"/>
        <w:numPr>
          <w:ilvl w:val="0"/>
          <w:numId w:val="3"/>
        </w:numPr>
        <w:spacing w:before="120" w:after="120"/>
        <w:rPr>
          <w:b/>
          <w:sz w:val="22"/>
          <w:szCs w:val="22"/>
        </w:rPr>
      </w:pPr>
      <w:r>
        <w:rPr>
          <w:b/>
          <w:sz w:val="22"/>
          <w:szCs w:val="22"/>
        </w:rPr>
        <w:t xml:space="preserve">Gastos de viaje y alojamiento, </w:t>
      </w:r>
    </w:p>
    <w:p w14:paraId="4125CC31" w14:textId="77777777" w:rsidR="008523EB" w:rsidRDefault="00E4765A">
      <w:pPr>
        <w:pStyle w:val="Default"/>
        <w:numPr>
          <w:ilvl w:val="0"/>
          <w:numId w:val="3"/>
        </w:numPr>
        <w:spacing w:before="120" w:after="120"/>
        <w:rPr>
          <w:b/>
          <w:sz w:val="22"/>
          <w:szCs w:val="22"/>
        </w:rPr>
      </w:pPr>
      <w:r>
        <w:rPr>
          <w:b/>
          <w:sz w:val="22"/>
          <w:szCs w:val="22"/>
        </w:rPr>
        <w:t xml:space="preserve">Gastos de servicios y asesoramiento externos, </w:t>
      </w:r>
    </w:p>
    <w:p w14:paraId="62174279" w14:textId="77777777" w:rsidR="008523EB" w:rsidRDefault="00E4765A">
      <w:pPr>
        <w:pStyle w:val="Default"/>
        <w:numPr>
          <w:ilvl w:val="0"/>
          <w:numId w:val="3"/>
        </w:numPr>
        <w:spacing w:before="120" w:after="120"/>
        <w:rPr>
          <w:b/>
          <w:sz w:val="22"/>
          <w:szCs w:val="22"/>
        </w:rPr>
      </w:pPr>
      <w:r>
        <w:rPr>
          <w:b/>
          <w:sz w:val="22"/>
          <w:szCs w:val="22"/>
        </w:rPr>
        <w:t>Gastos en equipo,</w:t>
      </w:r>
    </w:p>
    <w:p w14:paraId="315E1185" w14:textId="77777777" w:rsidR="008523EB" w:rsidRDefault="00E4765A">
      <w:pPr>
        <w:pStyle w:val="Default"/>
        <w:numPr>
          <w:ilvl w:val="0"/>
          <w:numId w:val="3"/>
        </w:numPr>
        <w:spacing w:before="120" w:after="120"/>
        <w:rPr>
          <w:b/>
          <w:sz w:val="22"/>
          <w:szCs w:val="22"/>
        </w:rPr>
      </w:pPr>
      <w:r>
        <w:rPr>
          <w:b/>
          <w:sz w:val="22"/>
          <w:szCs w:val="22"/>
        </w:rPr>
        <w:t>Gastos en infraestructura y obras.</w:t>
      </w:r>
    </w:p>
    <w:p w14:paraId="00D2F4EF" w14:textId="77777777" w:rsidR="008523EB" w:rsidRDefault="00E4765A">
      <w:pPr>
        <w:pStyle w:val="Default"/>
        <w:spacing w:before="120" w:after="120"/>
        <w:jc w:val="both"/>
        <w:rPr>
          <w:color w:val="auto"/>
          <w:sz w:val="22"/>
          <w:szCs w:val="22"/>
        </w:rPr>
      </w:pPr>
      <w:r>
        <w:rPr>
          <w:color w:val="auto"/>
          <w:sz w:val="22"/>
          <w:szCs w:val="22"/>
        </w:rPr>
        <w:t>Cada una de estas categorías de gasto está desarrollada en la correspondiente ficha técnica anexa.</w:t>
      </w:r>
    </w:p>
    <w:p w14:paraId="380B3198" w14:textId="77777777" w:rsidR="008523EB" w:rsidRDefault="008523EB">
      <w:pPr>
        <w:pStyle w:val="Default"/>
        <w:spacing w:before="120" w:after="120"/>
        <w:jc w:val="both"/>
        <w:rPr>
          <w:color w:val="auto"/>
          <w:sz w:val="22"/>
          <w:szCs w:val="22"/>
        </w:rPr>
      </w:pPr>
    </w:p>
    <w:p w14:paraId="207A539D"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eastAsia="zh-CN"/>
        </w:rPr>
      </w:pPr>
      <w:bookmarkStart w:id="14" w:name="_Toc188613825"/>
      <w:bookmarkStart w:id="15" w:name="_Toc190347173"/>
      <w:r>
        <w:rPr>
          <w:rFonts w:ascii="Tahoma" w:eastAsia="Arial Unicode MS" w:hAnsi="Tahoma" w:cs="Tahoma"/>
          <w:b/>
          <w:color w:val="1F4E79" w:themeColor="accent1" w:themeShade="80"/>
          <w:sz w:val="22"/>
          <w:szCs w:val="22"/>
          <w:lang w:eastAsia="zh-CN"/>
        </w:rPr>
        <w:t>SISTEMA DE COSTES SIMPLIFICADOS</w:t>
      </w:r>
      <w:bookmarkEnd w:id="14"/>
      <w:bookmarkEnd w:id="15"/>
      <w:r>
        <w:rPr>
          <w:rFonts w:ascii="Tahoma" w:eastAsia="Arial Unicode MS" w:hAnsi="Tahoma" w:cs="Tahoma"/>
          <w:b/>
          <w:color w:val="1F4E79" w:themeColor="accent1" w:themeShade="80"/>
          <w:sz w:val="22"/>
          <w:szCs w:val="22"/>
          <w:lang w:eastAsia="zh-CN"/>
        </w:rPr>
        <w:t xml:space="preserve"> </w:t>
      </w:r>
    </w:p>
    <w:p w14:paraId="0FE6603E" w14:textId="77777777" w:rsidR="008523EB" w:rsidRDefault="00E4765A">
      <w:pPr>
        <w:pStyle w:val="Default"/>
        <w:spacing w:before="120" w:after="120"/>
        <w:jc w:val="both"/>
        <w:rPr>
          <w:color w:val="auto"/>
          <w:sz w:val="22"/>
          <w:szCs w:val="22"/>
        </w:rPr>
      </w:pPr>
      <w:r>
        <w:rPr>
          <w:sz w:val="22"/>
          <w:szCs w:val="22"/>
        </w:rPr>
        <w:t xml:space="preserve">En aplicación del art 53 a </w:t>
      </w:r>
      <w:r>
        <w:rPr>
          <w:color w:val="auto"/>
          <w:sz w:val="22"/>
          <w:szCs w:val="22"/>
        </w:rPr>
        <w:t xml:space="preserve">56 del </w:t>
      </w:r>
      <w:r>
        <w:rPr>
          <w:sz w:val="22"/>
          <w:szCs w:val="22"/>
        </w:rPr>
        <w:t>Reglamento nº 2021/1060</w:t>
      </w:r>
      <w:r>
        <w:rPr>
          <w:color w:val="auto"/>
          <w:sz w:val="22"/>
          <w:szCs w:val="22"/>
        </w:rPr>
        <w:t xml:space="preserve"> se </w:t>
      </w:r>
      <w:r>
        <w:rPr>
          <w:sz w:val="22"/>
          <w:szCs w:val="22"/>
        </w:rPr>
        <w:t xml:space="preserve">ha elaborado un </w:t>
      </w:r>
      <w:r>
        <w:rPr>
          <w:b/>
          <w:sz w:val="22"/>
          <w:szCs w:val="22"/>
          <w:u w:val="single"/>
        </w:rPr>
        <w:t xml:space="preserve">sistema de costes simplificados </w:t>
      </w:r>
      <w:r>
        <w:rPr>
          <w:sz w:val="22"/>
          <w:szCs w:val="22"/>
        </w:rPr>
        <w:t>que permite a los beneficiarios elegir, en cada proyecto</w:t>
      </w:r>
      <w:r>
        <w:rPr>
          <w:color w:val="auto"/>
          <w:sz w:val="22"/>
          <w:szCs w:val="22"/>
        </w:rPr>
        <w:t>, entre las siguientes opciones de costes simplificados:</w:t>
      </w:r>
    </w:p>
    <w:p w14:paraId="1406D277" w14:textId="77777777" w:rsidR="008523EB" w:rsidRDefault="008523EB">
      <w:pPr>
        <w:pStyle w:val="Default"/>
        <w:spacing w:before="120" w:after="120"/>
        <w:jc w:val="both"/>
        <w:rPr>
          <w:color w:val="auto"/>
          <w:sz w:val="22"/>
          <w:szCs w:val="22"/>
        </w:rPr>
      </w:pPr>
    </w:p>
    <w:p w14:paraId="64C4CB96" w14:textId="77777777" w:rsidR="008523EB" w:rsidRDefault="008523EB">
      <w:pPr>
        <w:pStyle w:val="Default"/>
        <w:spacing w:before="120" w:after="120"/>
        <w:jc w:val="both"/>
        <w:rPr>
          <w:color w:val="auto"/>
          <w:sz w:val="22"/>
          <w:szCs w:val="22"/>
        </w:rPr>
      </w:pPr>
    </w:p>
    <w:p w14:paraId="6CC327B6" w14:textId="77777777" w:rsidR="008523EB" w:rsidRDefault="00E4765A">
      <w:pPr>
        <w:pStyle w:val="Prrafodelista"/>
        <w:numPr>
          <w:ilvl w:val="0"/>
          <w:numId w:val="11"/>
        </w:numPr>
        <w:spacing w:before="120" w:after="120"/>
        <w:contextualSpacing w:val="0"/>
        <w:jc w:val="left"/>
        <w:rPr>
          <w:rFonts w:ascii="Tahoma" w:hAnsi="Tahoma" w:cs="Tahoma"/>
          <w:color w:val="1F4E79" w:themeColor="accent1" w:themeShade="80"/>
          <w:sz w:val="22"/>
          <w:szCs w:val="22"/>
          <w:u w:val="single"/>
        </w:rPr>
      </w:pPr>
      <w:r>
        <w:rPr>
          <w:rFonts w:ascii="Tahoma" w:hAnsi="Tahoma" w:cs="Tahoma"/>
          <w:color w:val="1F4E79" w:themeColor="accent1" w:themeShade="80"/>
          <w:sz w:val="22"/>
          <w:szCs w:val="22"/>
          <w:u w:val="single"/>
        </w:rPr>
        <w:t>Con costes de personal al tipo fijo del 20%</w:t>
      </w:r>
    </w:p>
    <w:tbl>
      <w:tblPr>
        <w:tblW w:w="8224" w:type="dxa"/>
        <w:jc w:val="center"/>
        <w:tblLayout w:type="fixed"/>
        <w:tblCellMar>
          <w:left w:w="70" w:type="dxa"/>
          <w:right w:w="70" w:type="dxa"/>
        </w:tblCellMar>
        <w:tblLook w:val="04A0" w:firstRow="1" w:lastRow="0" w:firstColumn="1" w:lastColumn="0" w:noHBand="0" w:noVBand="1"/>
      </w:tblPr>
      <w:tblGrid>
        <w:gridCol w:w="4472"/>
        <w:gridCol w:w="1732"/>
        <w:gridCol w:w="2020"/>
      </w:tblGrid>
      <w:tr w:rsidR="008523EB" w14:paraId="5CEFF23D" w14:textId="77777777">
        <w:trPr>
          <w:trHeight w:val="225"/>
          <w:jc w:val="center"/>
        </w:trPr>
        <w:tc>
          <w:tcPr>
            <w:tcW w:w="447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15D75261"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Categoría de gasto</w:t>
            </w:r>
          </w:p>
        </w:tc>
        <w:tc>
          <w:tcPr>
            <w:tcW w:w="173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007FFE07"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Modalidad de ayuda</w:t>
            </w:r>
          </w:p>
        </w:tc>
        <w:tc>
          <w:tcPr>
            <w:tcW w:w="202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4940FB27"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Simplificación</w:t>
            </w:r>
          </w:p>
        </w:tc>
      </w:tr>
      <w:tr w:rsidR="008523EB" w14:paraId="42103D39" w14:textId="77777777">
        <w:trPr>
          <w:trHeight w:val="225"/>
          <w:jc w:val="center"/>
        </w:trPr>
        <w:tc>
          <w:tcPr>
            <w:tcW w:w="4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D091D"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de servicios y asesoramientos externos</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3A082"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reales</w:t>
            </w:r>
          </w:p>
        </w:tc>
        <w:tc>
          <w:tcPr>
            <w:tcW w:w="2020" w:type="dxa"/>
            <w:tcBorders>
              <w:top w:val="single" w:sz="4" w:space="0" w:color="000000"/>
              <w:left w:val="single" w:sz="4" w:space="0" w:color="000000"/>
              <w:bottom w:val="single" w:sz="4" w:space="0" w:color="000000"/>
              <w:right w:val="single" w:sz="4" w:space="0" w:color="000000"/>
            </w:tcBorders>
            <w:vAlign w:val="center"/>
          </w:tcPr>
          <w:p w14:paraId="79F1888B" w14:textId="77777777" w:rsidR="008523EB" w:rsidRDefault="008523EB">
            <w:pPr>
              <w:spacing w:before="120" w:after="120"/>
              <w:jc w:val="center"/>
              <w:rPr>
                <w:rFonts w:ascii="Tahoma" w:hAnsi="Tahoma" w:cs="Tahoma"/>
                <w:color w:val="000000"/>
                <w:sz w:val="20"/>
              </w:rPr>
            </w:pPr>
          </w:p>
        </w:tc>
      </w:tr>
      <w:tr w:rsidR="008523EB" w14:paraId="04E065E7" w14:textId="77777777">
        <w:trPr>
          <w:trHeight w:val="225"/>
          <w:jc w:val="center"/>
        </w:trPr>
        <w:tc>
          <w:tcPr>
            <w:tcW w:w="4472" w:type="dxa"/>
            <w:tcBorders>
              <w:left w:val="single" w:sz="4" w:space="0" w:color="000000"/>
              <w:bottom w:val="single" w:sz="4" w:space="0" w:color="000000"/>
              <w:right w:val="single" w:sz="4" w:space="0" w:color="000000"/>
            </w:tcBorders>
            <w:shd w:val="clear" w:color="auto" w:fill="auto"/>
            <w:vAlign w:val="center"/>
          </w:tcPr>
          <w:p w14:paraId="04098FF3"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en equipos</w:t>
            </w:r>
          </w:p>
        </w:tc>
        <w:tc>
          <w:tcPr>
            <w:tcW w:w="1732" w:type="dxa"/>
            <w:tcBorders>
              <w:left w:val="single" w:sz="4" w:space="0" w:color="000000"/>
              <w:bottom w:val="single" w:sz="4" w:space="0" w:color="000000"/>
              <w:right w:val="single" w:sz="4" w:space="0" w:color="000000"/>
            </w:tcBorders>
            <w:shd w:val="clear" w:color="auto" w:fill="auto"/>
            <w:vAlign w:val="center"/>
          </w:tcPr>
          <w:p w14:paraId="7DE40164"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reales</w:t>
            </w:r>
          </w:p>
        </w:tc>
        <w:tc>
          <w:tcPr>
            <w:tcW w:w="2020" w:type="dxa"/>
            <w:tcBorders>
              <w:left w:val="single" w:sz="4" w:space="0" w:color="000000"/>
              <w:bottom w:val="single" w:sz="4" w:space="0" w:color="000000"/>
              <w:right w:val="single" w:sz="4" w:space="0" w:color="000000"/>
            </w:tcBorders>
            <w:vAlign w:val="center"/>
          </w:tcPr>
          <w:p w14:paraId="2F16484C" w14:textId="77777777" w:rsidR="008523EB" w:rsidRDefault="008523EB">
            <w:pPr>
              <w:spacing w:before="120" w:after="120"/>
              <w:jc w:val="center"/>
              <w:rPr>
                <w:rFonts w:ascii="Tahoma" w:hAnsi="Tahoma" w:cs="Tahoma"/>
                <w:color w:val="000000"/>
                <w:sz w:val="20"/>
              </w:rPr>
            </w:pPr>
          </w:p>
        </w:tc>
      </w:tr>
      <w:tr w:rsidR="008523EB" w14:paraId="3BFD72CD" w14:textId="77777777">
        <w:trPr>
          <w:trHeight w:val="225"/>
          <w:jc w:val="center"/>
        </w:trPr>
        <w:tc>
          <w:tcPr>
            <w:tcW w:w="4472" w:type="dxa"/>
            <w:tcBorders>
              <w:left w:val="single" w:sz="4" w:space="0" w:color="000000"/>
              <w:bottom w:val="single" w:sz="4" w:space="0" w:color="000000"/>
              <w:right w:val="single" w:sz="4" w:space="0" w:color="000000"/>
            </w:tcBorders>
            <w:shd w:val="clear" w:color="auto" w:fill="auto"/>
            <w:vAlign w:val="center"/>
          </w:tcPr>
          <w:p w14:paraId="2FB1FDAD"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en infraestructura y obras</w:t>
            </w:r>
          </w:p>
        </w:tc>
        <w:tc>
          <w:tcPr>
            <w:tcW w:w="1732" w:type="dxa"/>
            <w:tcBorders>
              <w:left w:val="single" w:sz="4" w:space="0" w:color="000000"/>
              <w:bottom w:val="single" w:sz="4" w:space="0" w:color="000000"/>
              <w:right w:val="single" w:sz="4" w:space="0" w:color="000000"/>
            </w:tcBorders>
            <w:shd w:val="clear" w:color="auto" w:fill="auto"/>
            <w:vAlign w:val="center"/>
          </w:tcPr>
          <w:p w14:paraId="5A5D9682"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reales</w:t>
            </w:r>
          </w:p>
        </w:tc>
        <w:tc>
          <w:tcPr>
            <w:tcW w:w="2020" w:type="dxa"/>
            <w:tcBorders>
              <w:left w:val="single" w:sz="4" w:space="0" w:color="000000"/>
              <w:bottom w:val="single" w:sz="4" w:space="0" w:color="000000"/>
              <w:right w:val="single" w:sz="4" w:space="0" w:color="000000"/>
            </w:tcBorders>
            <w:vAlign w:val="center"/>
          </w:tcPr>
          <w:p w14:paraId="5363F010" w14:textId="77777777" w:rsidR="008523EB" w:rsidRDefault="008523EB">
            <w:pPr>
              <w:spacing w:before="120" w:after="120"/>
              <w:jc w:val="center"/>
              <w:rPr>
                <w:rFonts w:ascii="Tahoma" w:hAnsi="Tahoma" w:cs="Tahoma"/>
                <w:color w:val="000000"/>
                <w:sz w:val="20"/>
              </w:rPr>
            </w:pPr>
          </w:p>
        </w:tc>
      </w:tr>
      <w:tr w:rsidR="008523EB" w14:paraId="18EBFC8A" w14:textId="77777777">
        <w:trPr>
          <w:trHeight w:val="225"/>
          <w:jc w:val="center"/>
        </w:trPr>
        <w:tc>
          <w:tcPr>
            <w:tcW w:w="4472" w:type="dxa"/>
            <w:tcBorders>
              <w:left w:val="single" w:sz="4" w:space="0" w:color="000000"/>
              <w:bottom w:val="single" w:sz="4" w:space="0" w:color="000000"/>
              <w:right w:val="single" w:sz="4" w:space="0" w:color="000000"/>
            </w:tcBorders>
            <w:shd w:val="clear" w:color="auto" w:fill="auto"/>
            <w:vAlign w:val="center"/>
          </w:tcPr>
          <w:p w14:paraId="0529E5E9"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Costes de personal</w:t>
            </w:r>
          </w:p>
        </w:tc>
        <w:tc>
          <w:tcPr>
            <w:tcW w:w="1732" w:type="dxa"/>
            <w:tcBorders>
              <w:left w:val="single" w:sz="4" w:space="0" w:color="000000"/>
              <w:bottom w:val="single" w:sz="4" w:space="0" w:color="000000"/>
              <w:right w:val="single" w:sz="4" w:space="0" w:color="000000"/>
            </w:tcBorders>
            <w:shd w:val="clear" w:color="auto" w:fill="auto"/>
            <w:vAlign w:val="center"/>
          </w:tcPr>
          <w:p w14:paraId="3365E167"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Tipo fijo</w:t>
            </w:r>
          </w:p>
        </w:tc>
        <w:tc>
          <w:tcPr>
            <w:tcW w:w="2020" w:type="dxa"/>
            <w:tcBorders>
              <w:left w:val="single" w:sz="4" w:space="0" w:color="000000"/>
              <w:bottom w:val="single" w:sz="4" w:space="0" w:color="000000"/>
              <w:right w:val="single" w:sz="4" w:space="0" w:color="000000"/>
            </w:tcBorders>
            <w:vAlign w:val="center"/>
          </w:tcPr>
          <w:p w14:paraId="66850A60"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20% de costes reales</w:t>
            </w:r>
          </w:p>
        </w:tc>
      </w:tr>
      <w:tr w:rsidR="008523EB" w14:paraId="07EF97F7" w14:textId="77777777">
        <w:trPr>
          <w:trHeight w:val="225"/>
          <w:jc w:val="center"/>
        </w:trPr>
        <w:tc>
          <w:tcPr>
            <w:tcW w:w="4472" w:type="dxa"/>
            <w:tcBorders>
              <w:left w:val="single" w:sz="4" w:space="0" w:color="000000"/>
              <w:bottom w:val="single" w:sz="4" w:space="0" w:color="000000"/>
              <w:right w:val="single" w:sz="4" w:space="0" w:color="000000"/>
            </w:tcBorders>
            <w:shd w:val="clear" w:color="auto" w:fill="auto"/>
            <w:vAlign w:val="center"/>
          </w:tcPr>
          <w:p w14:paraId="3043F0AF"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de viajes y alojamientos</w:t>
            </w:r>
          </w:p>
        </w:tc>
        <w:tc>
          <w:tcPr>
            <w:tcW w:w="1732" w:type="dxa"/>
            <w:tcBorders>
              <w:left w:val="single" w:sz="4" w:space="0" w:color="000000"/>
              <w:bottom w:val="single" w:sz="4" w:space="0" w:color="000000"/>
              <w:right w:val="single" w:sz="4" w:space="0" w:color="000000"/>
            </w:tcBorders>
            <w:shd w:val="clear" w:color="auto" w:fill="auto"/>
            <w:vAlign w:val="center"/>
          </w:tcPr>
          <w:p w14:paraId="3975260B"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Tipo fijo</w:t>
            </w:r>
          </w:p>
        </w:tc>
        <w:tc>
          <w:tcPr>
            <w:tcW w:w="2020" w:type="dxa"/>
            <w:tcBorders>
              <w:left w:val="single" w:sz="4" w:space="0" w:color="000000"/>
              <w:bottom w:val="single" w:sz="4" w:space="0" w:color="000000"/>
              <w:right w:val="single" w:sz="4" w:space="0" w:color="000000"/>
            </w:tcBorders>
            <w:vAlign w:val="center"/>
          </w:tcPr>
          <w:p w14:paraId="5E413DE0"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15% de costes de personal</w:t>
            </w:r>
          </w:p>
        </w:tc>
      </w:tr>
      <w:tr w:rsidR="008523EB" w14:paraId="1558810E" w14:textId="77777777">
        <w:trPr>
          <w:trHeight w:val="225"/>
          <w:jc w:val="center"/>
        </w:trPr>
        <w:tc>
          <w:tcPr>
            <w:tcW w:w="4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58D30"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de oficina y administrativos</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63598"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Tipo fijo</w:t>
            </w:r>
          </w:p>
        </w:tc>
        <w:tc>
          <w:tcPr>
            <w:tcW w:w="2020" w:type="dxa"/>
            <w:tcBorders>
              <w:top w:val="single" w:sz="4" w:space="0" w:color="000000"/>
              <w:left w:val="single" w:sz="4" w:space="0" w:color="000000"/>
              <w:bottom w:val="single" w:sz="4" w:space="0" w:color="000000"/>
              <w:right w:val="single" w:sz="4" w:space="0" w:color="000000"/>
            </w:tcBorders>
            <w:vAlign w:val="center"/>
          </w:tcPr>
          <w:p w14:paraId="0BE2C2D1"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15% de costes de personal</w:t>
            </w:r>
          </w:p>
        </w:tc>
      </w:tr>
    </w:tbl>
    <w:p w14:paraId="7F5BA13E" w14:textId="77777777" w:rsidR="008523EB" w:rsidRDefault="008523EB">
      <w:pPr>
        <w:spacing w:before="120" w:after="120"/>
        <w:jc w:val="left"/>
        <w:rPr>
          <w:rFonts w:ascii="Tahoma" w:hAnsi="Tahoma" w:cs="Tahoma"/>
          <w:b/>
          <w:color w:val="2F5496" w:themeColor="accent5" w:themeShade="BF"/>
          <w:sz w:val="22"/>
          <w:szCs w:val="22"/>
          <w:u w:val="single"/>
        </w:rPr>
      </w:pPr>
    </w:p>
    <w:p w14:paraId="7945B956" w14:textId="77777777" w:rsidR="008523EB" w:rsidRDefault="00E4765A">
      <w:pPr>
        <w:pStyle w:val="Prrafodelista"/>
        <w:numPr>
          <w:ilvl w:val="0"/>
          <w:numId w:val="11"/>
        </w:numPr>
        <w:spacing w:before="120" w:after="120"/>
        <w:contextualSpacing w:val="0"/>
        <w:jc w:val="left"/>
        <w:rPr>
          <w:rFonts w:ascii="Tahoma" w:hAnsi="Tahoma" w:cs="Tahoma"/>
          <w:color w:val="1F4E79" w:themeColor="accent1" w:themeShade="80"/>
          <w:sz w:val="22"/>
          <w:szCs w:val="22"/>
          <w:u w:val="single"/>
        </w:rPr>
      </w:pPr>
      <w:r>
        <w:rPr>
          <w:rFonts w:ascii="Tahoma" w:hAnsi="Tahoma" w:cs="Tahoma"/>
          <w:color w:val="1F4E79" w:themeColor="accent1" w:themeShade="80"/>
          <w:sz w:val="22"/>
          <w:szCs w:val="22"/>
          <w:u w:val="single"/>
        </w:rPr>
        <w:t>Con costes de personal por costes unitarios</w:t>
      </w:r>
    </w:p>
    <w:tbl>
      <w:tblPr>
        <w:tblW w:w="7994" w:type="dxa"/>
        <w:jc w:val="center"/>
        <w:tblLayout w:type="fixed"/>
        <w:tblCellMar>
          <w:left w:w="70" w:type="dxa"/>
          <w:right w:w="70" w:type="dxa"/>
        </w:tblCellMar>
        <w:tblLook w:val="04A0" w:firstRow="1" w:lastRow="0" w:firstColumn="1" w:lastColumn="0" w:noHBand="0" w:noVBand="1"/>
      </w:tblPr>
      <w:tblGrid>
        <w:gridCol w:w="3964"/>
        <w:gridCol w:w="2125"/>
        <w:gridCol w:w="1905"/>
      </w:tblGrid>
      <w:tr w:rsidR="008523EB" w14:paraId="72D97DCB" w14:textId="77777777">
        <w:trPr>
          <w:trHeight w:val="300"/>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02E41527" w14:textId="77777777" w:rsidR="008523EB" w:rsidRDefault="00E4765A">
            <w:pPr>
              <w:spacing w:before="120" w:after="120"/>
              <w:jc w:val="left"/>
              <w:rPr>
                <w:rFonts w:ascii="Tahoma" w:hAnsi="Tahoma" w:cs="Tahoma"/>
                <w:b/>
                <w:color w:val="000000"/>
                <w:sz w:val="20"/>
              </w:rPr>
            </w:pPr>
            <w:r>
              <w:rPr>
                <w:rFonts w:ascii="Tahoma" w:hAnsi="Tahoma" w:cs="Tahoma"/>
                <w:b/>
                <w:color w:val="000000"/>
                <w:sz w:val="20"/>
              </w:rPr>
              <w:t>Categoría de gasto</w:t>
            </w:r>
          </w:p>
        </w:tc>
        <w:tc>
          <w:tcPr>
            <w:tcW w:w="212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030C24DB"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Modalidad de ayuda</w:t>
            </w:r>
          </w:p>
        </w:tc>
        <w:tc>
          <w:tcPr>
            <w:tcW w:w="190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03EE9512"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Simplificación</w:t>
            </w:r>
          </w:p>
        </w:tc>
      </w:tr>
      <w:tr w:rsidR="008523EB" w14:paraId="785AA291" w14:textId="77777777">
        <w:trPr>
          <w:trHeight w:val="300"/>
          <w:jc w:val="center"/>
        </w:trPr>
        <w:tc>
          <w:tcPr>
            <w:tcW w:w="3964" w:type="dxa"/>
            <w:tcBorders>
              <w:top w:val="single" w:sz="4" w:space="0" w:color="000000"/>
              <w:left w:val="single" w:sz="4" w:space="0" w:color="000000"/>
              <w:bottom w:val="single" w:sz="4" w:space="0" w:color="000000"/>
              <w:right w:val="single" w:sz="4" w:space="0" w:color="000000"/>
            </w:tcBorders>
            <w:vAlign w:val="center"/>
          </w:tcPr>
          <w:p w14:paraId="1CBBB80B"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de servicios y asesoramientos externos</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03BF6"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reales</w:t>
            </w:r>
          </w:p>
        </w:tc>
        <w:tc>
          <w:tcPr>
            <w:tcW w:w="1905" w:type="dxa"/>
            <w:tcBorders>
              <w:top w:val="single" w:sz="4" w:space="0" w:color="000000"/>
              <w:left w:val="single" w:sz="4" w:space="0" w:color="000000"/>
              <w:bottom w:val="single" w:sz="4" w:space="0" w:color="000000"/>
              <w:right w:val="single" w:sz="4" w:space="0" w:color="000000"/>
            </w:tcBorders>
            <w:vAlign w:val="center"/>
          </w:tcPr>
          <w:p w14:paraId="00592E87" w14:textId="77777777" w:rsidR="008523EB" w:rsidRDefault="008523EB">
            <w:pPr>
              <w:spacing w:before="120" w:after="120"/>
              <w:jc w:val="center"/>
              <w:rPr>
                <w:rFonts w:ascii="Tahoma" w:hAnsi="Tahoma" w:cs="Tahoma"/>
                <w:color w:val="000000"/>
                <w:sz w:val="20"/>
              </w:rPr>
            </w:pPr>
          </w:p>
        </w:tc>
      </w:tr>
      <w:tr w:rsidR="008523EB" w14:paraId="2E1FADB2" w14:textId="77777777">
        <w:trPr>
          <w:trHeight w:val="300"/>
          <w:jc w:val="center"/>
        </w:trPr>
        <w:tc>
          <w:tcPr>
            <w:tcW w:w="3964" w:type="dxa"/>
            <w:tcBorders>
              <w:left w:val="single" w:sz="4" w:space="0" w:color="000000"/>
              <w:bottom w:val="single" w:sz="4" w:space="0" w:color="000000"/>
              <w:right w:val="single" w:sz="4" w:space="0" w:color="000000"/>
            </w:tcBorders>
            <w:vAlign w:val="center"/>
          </w:tcPr>
          <w:p w14:paraId="481B975A"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en equipos</w:t>
            </w:r>
          </w:p>
        </w:tc>
        <w:tc>
          <w:tcPr>
            <w:tcW w:w="2125" w:type="dxa"/>
            <w:tcBorders>
              <w:left w:val="single" w:sz="4" w:space="0" w:color="000000"/>
              <w:bottom w:val="single" w:sz="4" w:space="0" w:color="000000"/>
              <w:right w:val="single" w:sz="4" w:space="0" w:color="000000"/>
            </w:tcBorders>
            <w:shd w:val="clear" w:color="auto" w:fill="auto"/>
            <w:vAlign w:val="center"/>
          </w:tcPr>
          <w:p w14:paraId="658A3787"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reales</w:t>
            </w:r>
          </w:p>
        </w:tc>
        <w:tc>
          <w:tcPr>
            <w:tcW w:w="1905" w:type="dxa"/>
            <w:tcBorders>
              <w:left w:val="single" w:sz="4" w:space="0" w:color="000000"/>
              <w:bottom w:val="single" w:sz="4" w:space="0" w:color="000000"/>
              <w:right w:val="single" w:sz="4" w:space="0" w:color="000000"/>
            </w:tcBorders>
            <w:vAlign w:val="center"/>
          </w:tcPr>
          <w:p w14:paraId="02811C19" w14:textId="77777777" w:rsidR="008523EB" w:rsidRDefault="008523EB">
            <w:pPr>
              <w:spacing w:before="120" w:after="120"/>
              <w:jc w:val="center"/>
              <w:rPr>
                <w:rFonts w:ascii="Tahoma" w:hAnsi="Tahoma" w:cs="Tahoma"/>
                <w:color w:val="000000"/>
                <w:sz w:val="20"/>
              </w:rPr>
            </w:pPr>
          </w:p>
        </w:tc>
      </w:tr>
      <w:tr w:rsidR="008523EB" w14:paraId="7BAB377C" w14:textId="77777777">
        <w:trPr>
          <w:trHeight w:val="300"/>
          <w:jc w:val="center"/>
        </w:trPr>
        <w:tc>
          <w:tcPr>
            <w:tcW w:w="3964" w:type="dxa"/>
            <w:tcBorders>
              <w:left w:val="single" w:sz="4" w:space="0" w:color="000000"/>
              <w:bottom w:val="single" w:sz="4" w:space="0" w:color="000000"/>
              <w:right w:val="single" w:sz="4" w:space="0" w:color="000000"/>
            </w:tcBorders>
            <w:vAlign w:val="center"/>
          </w:tcPr>
          <w:p w14:paraId="10574B81"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en infraestructura y obras</w:t>
            </w:r>
          </w:p>
        </w:tc>
        <w:tc>
          <w:tcPr>
            <w:tcW w:w="2125" w:type="dxa"/>
            <w:tcBorders>
              <w:left w:val="single" w:sz="4" w:space="0" w:color="000000"/>
              <w:bottom w:val="single" w:sz="4" w:space="0" w:color="000000"/>
              <w:right w:val="single" w:sz="4" w:space="0" w:color="000000"/>
            </w:tcBorders>
            <w:shd w:val="clear" w:color="auto" w:fill="auto"/>
            <w:vAlign w:val="center"/>
          </w:tcPr>
          <w:p w14:paraId="7FF84311"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reales</w:t>
            </w:r>
          </w:p>
        </w:tc>
        <w:tc>
          <w:tcPr>
            <w:tcW w:w="1905" w:type="dxa"/>
            <w:tcBorders>
              <w:left w:val="single" w:sz="4" w:space="0" w:color="000000"/>
              <w:bottom w:val="single" w:sz="4" w:space="0" w:color="000000"/>
              <w:right w:val="single" w:sz="4" w:space="0" w:color="000000"/>
            </w:tcBorders>
            <w:vAlign w:val="center"/>
          </w:tcPr>
          <w:p w14:paraId="7231CDA5" w14:textId="77777777" w:rsidR="008523EB" w:rsidRDefault="008523EB">
            <w:pPr>
              <w:spacing w:before="120" w:after="120"/>
              <w:jc w:val="center"/>
              <w:rPr>
                <w:rFonts w:ascii="Tahoma" w:hAnsi="Tahoma" w:cs="Tahoma"/>
                <w:color w:val="000000"/>
                <w:sz w:val="20"/>
              </w:rPr>
            </w:pPr>
          </w:p>
        </w:tc>
      </w:tr>
      <w:tr w:rsidR="008523EB" w14:paraId="59D35845" w14:textId="77777777">
        <w:trPr>
          <w:trHeight w:val="300"/>
          <w:jc w:val="center"/>
        </w:trPr>
        <w:tc>
          <w:tcPr>
            <w:tcW w:w="3964" w:type="dxa"/>
            <w:tcBorders>
              <w:left w:val="single" w:sz="4" w:space="0" w:color="000000"/>
              <w:bottom w:val="single" w:sz="4" w:space="0" w:color="000000"/>
              <w:right w:val="single" w:sz="4" w:space="0" w:color="000000"/>
            </w:tcBorders>
            <w:vAlign w:val="center"/>
          </w:tcPr>
          <w:p w14:paraId="727C9CAF"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Costes de personal</w:t>
            </w:r>
          </w:p>
        </w:tc>
        <w:tc>
          <w:tcPr>
            <w:tcW w:w="2125" w:type="dxa"/>
            <w:tcBorders>
              <w:left w:val="single" w:sz="4" w:space="0" w:color="000000"/>
              <w:bottom w:val="single" w:sz="4" w:space="0" w:color="000000"/>
              <w:right w:val="single" w:sz="4" w:space="0" w:color="000000"/>
            </w:tcBorders>
            <w:shd w:val="clear" w:color="auto" w:fill="auto"/>
            <w:vAlign w:val="center"/>
          </w:tcPr>
          <w:p w14:paraId="3193E388"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unitarios</w:t>
            </w:r>
          </w:p>
        </w:tc>
        <w:tc>
          <w:tcPr>
            <w:tcW w:w="1905" w:type="dxa"/>
            <w:tcBorders>
              <w:left w:val="single" w:sz="4" w:space="0" w:color="000000"/>
              <w:bottom w:val="single" w:sz="4" w:space="0" w:color="000000"/>
              <w:right w:val="single" w:sz="4" w:space="0" w:color="000000"/>
            </w:tcBorders>
            <w:vAlign w:val="center"/>
          </w:tcPr>
          <w:p w14:paraId="118C98EC"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coste/hora x nº horas</w:t>
            </w:r>
          </w:p>
        </w:tc>
      </w:tr>
      <w:tr w:rsidR="008523EB" w14:paraId="7E50E6F3" w14:textId="77777777">
        <w:trPr>
          <w:trHeight w:val="300"/>
          <w:jc w:val="center"/>
        </w:trPr>
        <w:tc>
          <w:tcPr>
            <w:tcW w:w="3964" w:type="dxa"/>
            <w:tcBorders>
              <w:left w:val="single" w:sz="4" w:space="0" w:color="000000"/>
              <w:bottom w:val="single" w:sz="4" w:space="0" w:color="000000"/>
              <w:right w:val="single" w:sz="4" w:space="0" w:color="000000"/>
            </w:tcBorders>
            <w:vAlign w:val="center"/>
          </w:tcPr>
          <w:p w14:paraId="1BEE344C"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de viajes y alojamientos</w:t>
            </w:r>
          </w:p>
        </w:tc>
        <w:tc>
          <w:tcPr>
            <w:tcW w:w="2125" w:type="dxa"/>
            <w:tcBorders>
              <w:left w:val="single" w:sz="4" w:space="0" w:color="000000"/>
              <w:bottom w:val="single" w:sz="4" w:space="0" w:color="000000"/>
              <w:right w:val="single" w:sz="4" w:space="0" w:color="000000"/>
            </w:tcBorders>
            <w:shd w:val="clear" w:color="auto" w:fill="auto"/>
            <w:vAlign w:val="center"/>
          </w:tcPr>
          <w:p w14:paraId="1C590A4C"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Tipo fijo</w:t>
            </w:r>
          </w:p>
        </w:tc>
        <w:tc>
          <w:tcPr>
            <w:tcW w:w="1905" w:type="dxa"/>
            <w:tcBorders>
              <w:left w:val="single" w:sz="4" w:space="0" w:color="000000"/>
              <w:bottom w:val="single" w:sz="4" w:space="0" w:color="000000"/>
              <w:right w:val="single" w:sz="4" w:space="0" w:color="000000"/>
            </w:tcBorders>
            <w:vAlign w:val="center"/>
          </w:tcPr>
          <w:p w14:paraId="1EECD26A"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15% de coste de personal</w:t>
            </w:r>
          </w:p>
        </w:tc>
      </w:tr>
      <w:tr w:rsidR="008523EB" w14:paraId="3EAE421B" w14:textId="77777777">
        <w:trPr>
          <w:trHeight w:val="300"/>
          <w:jc w:val="center"/>
        </w:trPr>
        <w:tc>
          <w:tcPr>
            <w:tcW w:w="3964" w:type="dxa"/>
            <w:tcBorders>
              <w:left w:val="single" w:sz="4" w:space="0" w:color="000000"/>
              <w:bottom w:val="single" w:sz="4" w:space="0" w:color="000000"/>
              <w:right w:val="single" w:sz="4" w:space="0" w:color="000000"/>
            </w:tcBorders>
            <w:vAlign w:val="center"/>
          </w:tcPr>
          <w:p w14:paraId="00B8EC32"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Gastos de oficina y administrativos</w:t>
            </w:r>
          </w:p>
        </w:tc>
        <w:tc>
          <w:tcPr>
            <w:tcW w:w="2125" w:type="dxa"/>
            <w:tcBorders>
              <w:left w:val="single" w:sz="4" w:space="0" w:color="000000"/>
              <w:bottom w:val="single" w:sz="4" w:space="0" w:color="000000"/>
              <w:right w:val="single" w:sz="4" w:space="0" w:color="000000"/>
            </w:tcBorders>
            <w:shd w:val="clear" w:color="auto" w:fill="auto"/>
            <w:vAlign w:val="center"/>
          </w:tcPr>
          <w:p w14:paraId="5149EDA4"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Tipo fijo</w:t>
            </w:r>
          </w:p>
        </w:tc>
        <w:tc>
          <w:tcPr>
            <w:tcW w:w="1905" w:type="dxa"/>
            <w:tcBorders>
              <w:left w:val="single" w:sz="4" w:space="0" w:color="000000"/>
              <w:bottom w:val="single" w:sz="4" w:space="0" w:color="000000"/>
              <w:right w:val="single" w:sz="4" w:space="0" w:color="000000"/>
            </w:tcBorders>
            <w:vAlign w:val="center"/>
          </w:tcPr>
          <w:p w14:paraId="1C2E7E41"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15% de coste de personal</w:t>
            </w:r>
          </w:p>
        </w:tc>
      </w:tr>
    </w:tbl>
    <w:p w14:paraId="3E2ACC04" w14:textId="77777777" w:rsidR="008523EB" w:rsidRDefault="00E4765A">
      <w:pPr>
        <w:pStyle w:val="Prrafodelista"/>
        <w:spacing w:before="120" w:after="120"/>
        <w:contextualSpacing w:val="0"/>
        <w:jc w:val="left"/>
        <w:rPr>
          <w:rFonts w:ascii="Tahoma" w:hAnsi="Tahoma" w:cs="Tahoma"/>
          <w:color w:val="000000"/>
          <w:sz w:val="18"/>
          <w:szCs w:val="18"/>
        </w:rPr>
      </w:pPr>
      <w:r>
        <w:rPr>
          <w:rFonts w:ascii="Tahoma" w:hAnsi="Tahoma" w:cs="Tahoma"/>
          <w:color w:val="000000"/>
          <w:sz w:val="22"/>
          <w:szCs w:val="22"/>
        </w:rPr>
        <w:t>*</w:t>
      </w:r>
      <w:r>
        <w:rPr>
          <w:rFonts w:ascii="Tahoma" w:hAnsi="Tahoma" w:cs="Tahoma"/>
          <w:color w:val="000000"/>
          <w:sz w:val="18"/>
          <w:szCs w:val="18"/>
        </w:rPr>
        <w:t>Las empresas privadas no podrán declarar gastos de personal por costes unitarios, debiendo optar por la opción A.</w:t>
      </w:r>
    </w:p>
    <w:p w14:paraId="0AE196DD" w14:textId="77777777" w:rsidR="008523EB" w:rsidRDefault="008523EB">
      <w:pPr>
        <w:pStyle w:val="Prrafodelista"/>
        <w:spacing w:before="120" w:after="120"/>
        <w:contextualSpacing w:val="0"/>
        <w:jc w:val="left"/>
        <w:rPr>
          <w:rFonts w:ascii="Tahoma" w:hAnsi="Tahoma" w:cs="Tahoma"/>
          <w:b/>
          <w:color w:val="2F5496" w:themeColor="accent5" w:themeShade="BF"/>
          <w:sz w:val="22"/>
          <w:szCs w:val="22"/>
          <w:u w:val="single"/>
        </w:rPr>
      </w:pPr>
    </w:p>
    <w:p w14:paraId="0B6554DC" w14:textId="77777777" w:rsidR="008523EB" w:rsidRDefault="008523EB">
      <w:pPr>
        <w:pStyle w:val="Prrafodelista"/>
        <w:spacing w:before="120" w:after="120"/>
        <w:contextualSpacing w:val="0"/>
        <w:jc w:val="left"/>
        <w:rPr>
          <w:rFonts w:ascii="Tahoma" w:hAnsi="Tahoma" w:cs="Tahoma"/>
          <w:b/>
          <w:color w:val="2F5496" w:themeColor="accent5" w:themeShade="BF"/>
          <w:sz w:val="22"/>
          <w:szCs w:val="22"/>
          <w:u w:val="single"/>
        </w:rPr>
      </w:pPr>
    </w:p>
    <w:p w14:paraId="497534B8" w14:textId="77777777" w:rsidR="008523EB" w:rsidRDefault="008523EB">
      <w:pPr>
        <w:pStyle w:val="Prrafodelista"/>
        <w:spacing w:before="120" w:after="120"/>
        <w:contextualSpacing w:val="0"/>
        <w:jc w:val="left"/>
        <w:rPr>
          <w:rFonts w:ascii="Tahoma" w:hAnsi="Tahoma" w:cs="Tahoma"/>
          <w:b/>
          <w:color w:val="2F5496" w:themeColor="accent5" w:themeShade="BF"/>
          <w:sz w:val="22"/>
          <w:szCs w:val="22"/>
          <w:u w:val="single"/>
        </w:rPr>
      </w:pPr>
    </w:p>
    <w:p w14:paraId="3074448C" w14:textId="77777777" w:rsidR="008523EB" w:rsidRDefault="008523EB">
      <w:pPr>
        <w:pStyle w:val="Prrafodelista"/>
        <w:spacing w:before="120" w:after="120"/>
        <w:contextualSpacing w:val="0"/>
        <w:jc w:val="left"/>
        <w:rPr>
          <w:rFonts w:ascii="Tahoma" w:hAnsi="Tahoma" w:cs="Tahoma"/>
          <w:b/>
          <w:color w:val="2F5496" w:themeColor="accent5" w:themeShade="BF"/>
          <w:sz w:val="22"/>
          <w:szCs w:val="22"/>
          <w:u w:val="single"/>
        </w:rPr>
      </w:pPr>
    </w:p>
    <w:p w14:paraId="77767032" w14:textId="77777777" w:rsidR="008523EB" w:rsidRDefault="008523EB">
      <w:pPr>
        <w:pStyle w:val="Prrafodelista"/>
        <w:spacing w:before="120" w:after="120"/>
        <w:contextualSpacing w:val="0"/>
        <w:jc w:val="left"/>
        <w:rPr>
          <w:rFonts w:ascii="Tahoma" w:hAnsi="Tahoma" w:cs="Tahoma"/>
          <w:b/>
          <w:color w:val="2F5496" w:themeColor="accent5" w:themeShade="BF"/>
          <w:sz w:val="22"/>
          <w:szCs w:val="22"/>
          <w:u w:val="single"/>
        </w:rPr>
      </w:pPr>
    </w:p>
    <w:p w14:paraId="15BB16FE" w14:textId="77777777" w:rsidR="008523EB" w:rsidRDefault="00E4765A">
      <w:pPr>
        <w:pStyle w:val="Prrafodelista"/>
        <w:numPr>
          <w:ilvl w:val="0"/>
          <w:numId w:val="11"/>
        </w:numPr>
        <w:spacing w:before="120" w:after="120"/>
        <w:contextualSpacing w:val="0"/>
        <w:jc w:val="left"/>
        <w:rPr>
          <w:rFonts w:ascii="Tahoma" w:hAnsi="Tahoma" w:cs="Tahoma"/>
          <w:color w:val="1F4E79" w:themeColor="accent1" w:themeShade="80"/>
          <w:sz w:val="22"/>
          <w:szCs w:val="22"/>
          <w:u w:val="single"/>
        </w:rPr>
      </w:pPr>
      <w:r>
        <w:rPr>
          <w:rFonts w:ascii="Tahoma" w:hAnsi="Tahoma" w:cs="Tahoma"/>
          <w:color w:val="1F4E79" w:themeColor="accent1" w:themeShade="80"/>
          <w:sz w:val="22"/>
          <w:szCs w:val="22"/>
          <w:u w:val="single"/>
        </w:rPr>
        <w:t>Con el tipo fijo del 40% para costes distintos a los de personal</w:t>
      </w:r>
    </w:p>
    <w:tbl>
      <w:tblPr>
        <w:tblW w:w="8223" w:type="dxa"/>
        <w:jc w:val="center"/>
        <w:tblLayout w:type="fixed"/>
        <w:tblCellMar>
          <w:left w:w="70" w:type="dxa"/>
          <w:right w:w="70" w:type="dxa"/>
        </w:tblCellMar>
        <w:tblLook w:val="04A0" w:firstRow="1" w:lastRow="0" w:firstColumn="1" w:lastColumn="0" w:noHBand="0" w:noVBand="1"/>
      </w:tblPr>
      <w:tblGrid>
        <w:gridCol w:w="4330"/>
        <w:gridCol w:w="1981"/>
        <w:gridCol w:w="1912"/>
      </w:tblGrid>
      <w:tr w:rsidR="008523EB" w14:paraId="67D2D084" w14:textId="77777777">
        <w:trPr>
          <w:trHeight w:val="300"/>
          <w:jc w:val="center"/>
        </w:trPr>
        <w:tc>
          <w:tcPr>
            <w:tcW w:w="433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456DC63F" w14:textId="77777777" w:rsidR="008523EB" w:rsidRDefault="00E4765A">
            <w:pPr>
              <w:spacing w:before="120" w:after="120"/>
              <w:jc w:val="left"/>
              <w:rPr>
                <w:rFonts w:ascii="Tahoma" w:hAnsi="Tahoma" w:cs="Tahoma"/>
                <w:b/>
                <w:color w:val="000000"/>
                <w:sz w:val="20"/>
              </w:rPr>
            </w:pPr>
            <w:r>
              <w:rPr>
                <w:rFonts w:ascii="Tahoma" w:hAnsi="Tahoma" w:cs="Tahoma"/>
                <w:b/>
                <w:color w:val="000000"/>
                <w:sz w:val="20"/>
              </w:rPr>
              <w:t>Categoría de gasto</w:t>
            </w:r>
          </w:p>
        </w:tc>
        <w:tc>
          <w:tcPr>
            <w:tcW w:w="1981"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1F5B2CAA"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Modalidad de ayuda</w:t>
            </w:r>
          </w:p>
        </w:tc>
        <w:tc>
          <w:tcPr>
            <w:tcW w:w="1912" w:type="dxa"/>
            <w:tcBorders>
              <w:top w:val="single" w:sz="4" w:space="0" w:color="000000"/>
              <w:bottom w:val="single" w:sz="4" w:space="0" w:color="000000"/>
              <w:right w:val="single" w:sz="4" w:space="0" w:color="000000"/>
            </w:tcBorders>
            <w:shd w:val="clear" w:color="auto" w:fill="D9E2F3" w:themeFill="accent5" w:themeFillTint="33"/>
            <w:vAlign w:val="center"/>
          </w:tcPr>
          <w:p w14:paraId="07CD3E11" w14:textId="77777777" w:rsidR="008523EB" w:rsidRDefault="00E4765A">
            <w:pPr>
              <w:spacing w:before="120" w:after="120"/>
              <w:jc w:val="center"/>
              <w:rPr>
                <w:rFonts w:ascii="Tahoma" w:hAnsi="Tahoma" w:cs="Tahoma"/>
                <w:b/>
                <w:color w:val="000000"/>
                <w:sz w:val="20"/>
              </w:rPr>
            </w:pPr>
            <w:r>
              <w:rPr>
                <w:rFonts w:ascii="Tahoma" w:hAnsi="Tahoma" w:cs="Tahoma"/>
                <w:b/>
                <w:color w:val="000000"/>
                <w:sz w:val="20"/>
              </w:rPr>
              <w:t>Simplificación</w:t>
            </w:r>
          </w:p>
        </w:tc>
      </w:tr>
      <w:tr w:rsidR="008523EB" w14:paraId="05117A0C" w14:textId="77777777">
        <w:trPr>
          <w:trHeight w:val="300"/>
          <w:jc w:val="center"/>
        </w:trPr>
        <w:tc>
          <w:tcPr>
            <w:tcW w:w="4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63697"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Costes de personal</w:t>
            </w:r>
          </w:p>
        </w:tc>
        <w:tc>
          <w:tcPr>
            <w:tcW w:w="1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90225"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Costes unitarios</w:t>
            </w:r>
          </w:p>
        </w:tc>
        <w:tc>
          <w:tcPr>
            <w:tcW w:w="1912" w:type="dxa"/>
            <w:tcBorders>
              <w:top w:val="single" w:sz="4" w:space="0" w:color="000000"/>
              <w:bottom w:val="single" w:sz="4" w:space="0" w:color="000000"/>
              <w:right w:val="single" w:sz="4" w:space="0" w:color="000000"/>
            </w:tcBorders>
            <w:shd w:val="clear" w:color="auto" w:fill="auto"/>
            <w:vAlign w:val="center"/>
          </w:tcPr>
          <w:p w14:paraId="2293FD44"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coste/hora x</w:t>
            </w:r>
          </w:p>
          <w:p w14:paraId="2267D98B"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nº horas</w:t>
            </w:r>
          </w:p>
        </w:tc>
      </w:tr>
      <w:tr w:rsidR="008523EB" w14:paraId="3F4FD027" w14:textId="77777777">
        <w:trPr>
          <w:trHeight w:val="300"/>
          <w:jc w:val="center"/>
        </w:trPr>
        <w:tc>
          <w:tcPr>
            <w:tcW w:w="4330" w:type="dxa"/>
            <w:tcBorders>
              <w:left w:val="single" w:sz="4" w:space="0" w:color="000000"/>
              <w:bottom w:val="single" w:sz="4" w:space="0" w:color="000000"/>
              <w:right w:val="single" w:sz="4" w:space="0" w:color="000000"/>
            </w:tcBorders>
            <w:shd w:val="clear" w:color="auto" w:fill="auto"/>
            <w:vAlign w:val="center"/>
          </w:tcPr>
          <w:p w14:paraId="0A83DBF4" w14:textId="77777777" w:rsidR="008523EB" w:rsidRDefault="00E4765A">
            <w:pPr>
              <w:spacing w:before="120" w:after="120"/>
              <w:jc w:val="left"/>
              <w:rPr>
                <w:rFonts w:ascii="Tahoma" w:hAnsi="Tahoma" w:cs="Tahoma"/>
                <w:color w:val="000000"/>
                <w:sz w:val="20"/>
              </w:rPr>
            </w:pPr>
            <w:r>
              <w:rPr>
                <w:rFonts w:ascii="Tahoma" w:hAnsi="Tahoma" w:cs="Tahoma"/>
                <w:color w:val="000000"/>
                <w:sz w:val="20"/>
              </w:rPr>
              <w:t>Resto de costes</w:t>
            </w:r>
          </w:p>
        </w:tc>
        <w:tc>
          <w:tcPr>
            <w:tcW w:w="1981" w:type="dxa"/>
            <w:tcBorders>
              <w:left w:val="single" w:sz="4" w:space="0" w:color="000000"/>
              <w:bottom w:val="single" w:sz="4" w:space="0" w:color="000000"/>
              <w:right w:val="single" w:sz="4" w:space="0" w:color="000000"/>
            </w:tcBorders>
            <w:shd w:val="clear" w:color="auto" w:fill="auto"/>
            <w:vAlign w:val="center"/>
          </w:tcPr>
          <w:p w14:paraId="7F99DEF4"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Tipo fijo</w:t>
            </w:r>
          </w:p>
        </w:tc>
        <w:tc>
          <w:tcPr>
            <w:tcW w:w="1912" w:type="dxa"/>
            <w:tcBorders>
              <w:bottom w:val="single" w:sz="4" w:space="0" w:color="000000"/>
              <w:right w:val="single" w:sz="4" w:space="0" w:color="000000"/>
            </w:tcBorders>
            <w:shd w:val="clear" w:color="auto" w:fill="auto"/>
            <w:vAlign w:val="center"/>
          </w:tcPr>
          <w:p w14:paraId="4D0B2323" w14:textId="77777777" w:rsidR="008523EB" w:rsidRDefault="00E4765A">
            <w:pPr>
              <w:spacing w:before="120" w:after="120"/>
              <w:jc w:val="center"/>
              <w:rPr>
                <w:rFonts w:ascii="Tahoma" w:hAnsi="Tahoma" w:cs="Tahoma"/>
                <w:color w:val="000000"/>
                <w:sz w:val="20"/>
              </w:rPr>
            </w:pPr>
            <w:r>
              <w:rPr>
                <w:rFonts w:ascii="Tahoma" w:hAnsi="Tahoma" w:cs="Tahoma"/>
                <w:color w:val="000000"/>
                <w:sz w:val="20"/>
              </w:rPr>
              <w:t>40%</w:t>
            </w:r>
          </w:p>
        </w:tc>
      </w:tr>
    </w:tbl>
    <w:p w14:paraId="73F14B38" w14:textId="77777777" w:rsidR="008523EB" w:rsidRDefault="00E4765A">
      <w:pPr>
        <w:pStyle w:val="Prrafodelista"/>
        <w:spacing w:before="120" w:after="120"/>
        <w:contextualSpacing w:val="0"/>
        <w:jc w:val="left"/>
        <w:rPr>
          <w:rFonts w:ascii="Tahoma" w:hAnsi="Tahoma" w:cs="Tahoma"/>
          <w:color w:val="000000"/>
          <w:sz w:val="18"/>
          <w:szCs w:val="18"/>
        </w:rPr>
      </w:pPr>
      <w:r>
        <w:rPr>
          <w:rFonts w:ascii="Tahoma" w:hAnsi="Tahoma" w:cs="Tahoma"/>
          <w:color w:val="000000"/>
          <w:sz w:val="22"/>
          <w:szCs w:val="22"/>
        </w:rPr>
        <w:t>*</w:t>
      </w:r>
      <w:r>
        <w:rPr>
          <w:rFonts w:ascii="Tahoma" w:hAnsi="Tahoma" w:cs="Tahoma"/>
          <w:color w:val="000000"/>
          <w:sz w:val="18"/>
          <w:szCs w:val="18"/>
        </w:rPr>
        <w:t>Las empresas privadas no podrán declarar gastos de personal por costes unitarios, debiendo optar por la opción A.</w:t>
      </w:r>
    </w:p>
    <w:p w14:paraId="0ADFA87F" w14:textId="77777777" w:rsidR="008523EB" w:rsidRDefault="00E4765A">
      <w:pPr>
        <w:pStyle w:val="Default"/>
        <w:spacing w:before="120" w:after="120"/>
        <w:jc w:val="both"/>
        <w:rPr>
          <w:color w:val="000000" w:themeColor="text1"/>
          <w:sz w:val="22"/>
          <w:szCs w:val="22"/>
        </w:rPr>
      </w:pPr>
      <w:r>
        <w:rPr>
          <w:color w:val="000000" w:themeColor="text1"/>
          <w:sz w:val="22"/>
          <w:szCs w:val="22"/>
        </w:rPr>
        <w:t xml:space="preserve">Las diferentes </w:t>
      </w:r>
      <w:r>
        <w:rPr>
          <w:b/>
          <w:color w:val="000000" w:themeColor="text1"/>
          <w:sz w:val="22"/>
          <w:szCs w:val="22"/>
        </w:rPr>
        <w:t>opciones de simplificación y de modalidad de subvención aplicables</w:t>
      </w:r>
      <w:r>
        <w:rPr>
          <w:color w:val="000000" w:themeColor="text1"/>
          <w:sz w:val="22"/>
          <w:szCs w:val="22"/>
        </w:rPr>
        <w:t xml:space="preserve"> se </w:t>
      </w:r>
      <w:r>
        <w:rPr>
          <w:b/>
          <w:color w:val="000000" w:themeColor="text1"/>
          <w:sz w:val="22"/>
          <w:szCs w:val="22"/>
        </w:rPr>
        <w:t>resumen</w:t>
      </w:r>
      <w:r>
        <w:rPr>
          <w:color w:val="000000" w:themeColor="text1"/>
          <w:sz w:val="22"/>
          <w:szCs w:val="22"/>
        </w:rPr>
        <w:t xml:space="preserve"> en la siguiente tabla:</w:t>
      </w:r>
    </w:p>
    <w:tbl>
      <w:tblPr>
        <w:tblW w:w="8647" w:type="dxa"/>
        <w:tblInd w:w="-5" w:type="dxa"/>
        <w:tblLayout w:type="fixed"/>
        <w:tblLook w:val="0000" w:firstRow="0" w:lastRow="0" w:firstColumn="0" w:lastColumn="0" w:noHBand="0" w:noVBand="0"/>
      </w:tblPr>
      <w:tblGrid>
        <w:gridCol w:w="3259"/>
        <w:gridCol w:w="2695"/>
        <w:gridCol w:w="2693"/>
      </w:tblGrid>
      <w:tr w:rsidR="008523EB" w14:paraId="0BF9FE8E" w14:textId="77777777">
        <w:trPr>
          <w:trHeight w:val="144"/>
        </w:trPr>
        <w:tc>
          <w:tcPr>
            <w:tcW w:w="325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414FBB12"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b/>
                <w:bCs/>
                <w:color w:val="000000" w:themeColor="text1"/>
                <w:sz w:val="20"/>
                <w:lang w:eastAsia="en-US"/>
              </w:rPr>
              <w:t>CATEGORÍAS</w:t>
            </w:r>
          </w:p>
        </w:tc>
        <w:tc>
          <w:tcPr>
            <w:tcW w:w="269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2AC87E74"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b/>
                <w:bCs/>
                <w:color w:val="000000" w:themeColor="text1"/>
                <w:sz w:val="20"/>
                <w:lang w:eastAsia="en-US"/>
              </w:rPr>
              <w:t>SIMPLIFICACIÓN</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14:paraId="68A7E49B"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b/>
                <w:bCs/>
                <w:color w:val="000000" w:themeColor="text1"/>
                <w:sz w:val="20"/>
                <w:lang w:eastAsia="en-US"/>
              </w:rPr>
              <w:t>MODALIDAD DE SUBVENCIÓN</w:t>
            </w:r>
          </w:p>
        </w:tc>
      </w:tr>
      <w:tr w:rsidR="008523EB" w14:paraId="771A6C07" w14:textId="77777777">
        <w:trPr>
          <w:trHeight w:val="140"/>
        </w:trPr>
        <w:tc>
          <w:tcPr>
            <w:tcW w:w="3259" w:type="dxa"/>
            <w:tcBorders>
              <w:top w:val="single" w:sz="4" w:space="0" w:color="000000"/>
              <w:left w:val="single" w:sz="4" w:space="0" w:color="000000"/>
              <w:bottom w:val="single" w:sz="4" w:space="0" w:color="000000"/>
              <w:right w:val="single" w:sz="4" w:space="0" w:color="000000"/>
            </w:tcBorders>
            <w:vAlign w:val="center"/>
          </w:tcPr>
          <w:p w14:paraId="10A744D0" w14:textId="77777777" w:rsidR="008523EB" w:rsidRDefault="00E4765A">
            <w:pPr>
              <w:spacing w:before="120" w:after="120"/>
              <w:jc w:val="left"/>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Costes de Personal</w:t>
            </w:r>
          </w:p>
        </w:tc>
        <w:tc>
          <w:tcPr>
            <w:tcW w:w="2695" w:type="dxa"/>
            <w:tcBorders>
              <w:top w:val="single" w:sz="4" w:space="0" w:color="000000"/>
              <w:left w:val="single" w:sz="4" w:space="0" w:color="000000"/>
              <w:bottom w:val="single" w:sz="4" w:space="0" w:color="000000"/>
              <w:right w:val="single" w:sz="4" w:space="0" w:color="000000"/>
            </w:tcBorders>
            <w:vAlign w:val="center"/>
          </w:tcPr>
          <w:p w14:paraId="7C078E04" w14:textId="77777777" w:rsidR="008523EB" w:rsidRDefault="00E4765A">
            <w:pPr>
              <w:pStyle w:val="Prrafodelista"/>
              <w:numPr>
                <w:ilvl w:val="0"/>
                <w:numId w:val="12"/>
              </w:numPr>
              <w:spacing w:before="120" w:after="120"/>
              <w:contextualSpacing w:val="0"/>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20% resto costes distintos de personal</w:t>
            </w:r>
          </w:p>
          <w:p w14:paraId="48E020F8" w14:textId="77777777" w:rsidR="008523EB" w:rsidRDefault="00E4765A">
            <w:pPr>
              <w:pStyle w:val="Prrafodelista"/>
              <w:numPr>
                <w:ilvl w:val="0"/>
                <w:numId w:val="12"/>
              </w:numPr>
              <w:spacing w:before="120" w:after="120"/>
              <w:contextualSpacing w:val="0"/>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Costes unitarios MAC</w:t>
            </w:r>
          </w:p>
        </w:tc>
        <w:tc>
          <w:tcPr>
            <w:tcW w:w="2693" w:type="dxa"/>
            <w:tcBorders>
              <w:top w:val="single" w:sz="4" w:space="0" w:color="000000"/>
              <w:left w:val="single" w:sz="4" w:space="0" w:color="000000"/>
              <w:bottom w:val="single" w:sz="4" w:space="0" w:color="000000"/>
              <w:right w:val="single" w:sz="4" w:space="0" w:color="000000"/>
            </w:tcBorders>
            <w:vAlign w:val="center"/>
          </w:tcPr>
          <w:p w14:paraId="595DAB20" w14:textId="77777777" w:rsidR="008523EB" w:rsidRDefault="00E4765A">
            <w:pPr>
              <w:pStyle w:val="Prrafodelista"/>
              <w:numPr>
                <w:ilvl w:val="0"/>
                <w:numId w:val="13"/>
              </w:numPr>
              <w:spacing w:before="120" w:after="120"/>
              <w:contextualSpacing w:val="0"/>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Tipo fijo</w:t>
            </w:r>
          </w:p>
          <w:p w14:paraId="797ACD14" w14:textId="77777777" w:rsidR="008523EB" w:rsidRDefault="00E4765A">
            <w:pPr>
              <w:pStyle w:val="Prrafodelista"/>
              <w:numPr>
                <w:ilvl w:val="0"/>
                <w:numId w:val="13"/>
              </w:numPr>
              <w:spacing w:before="120" w:after="120"/>
              <w:contextualSpacing w:val="0"/>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Costes unitarios</w:t>
            </w:r>
          </w:p>
        </w:tc>
      </w:tr>
      <w:tr w:rsidR="008523EB" w14:paraId="33B00382" w14:textId="77777777">
        <w:trPr>
          <w:trHeight w:val="137"/>
        </w:trPr>
        <w:tc>
          <w:tcPr>
            <w:tcW w:w="3259" w:type="dxa"/>
            <w:tcBorders>
              <w:top w:val="single" w:sz="4" w:space="0" w:color="000000"/>
              <w:left w:val="single" w:sz="4" w:space="0" w:color="000000"/>
              <w:bottom w:val="single" w:sz="4" w:space="0" w:color="000000"/>
              <w:right w:val="single" w:sz="4" w:space="0" w:color="000000"/>
            </w:tcBorders>
            <w:vAlign w:val="center"/>
          </w:tcPr>
          <w:p w14:paraId="4BAF3ACF" w14:textId="77777777" w:rsidR="008523EB" w:rsidRDefault="00E4765A">
            <w:pPr>
              <w:spacing w:before="120" w:after="120"/>
              <w:jc w:val="left"/>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Gastos de oficina y administrativos</w:t>
            </w:r>
          </w:p>
        </w:tc>
        <w:tc>
          <w:tcPr>
            <w:tcW w:w="2695" w:type="dxa"/>
            <w:tcBorders>
              <w:top w:val="single" w:sz="4" w:space="0" w:color="000000"/>
              <w:left w:val="single" w:sz="4" w:space="0" w:color="000000"/>
              <w:bottom w:val="single" w:sz="4" w:space="0" w:color="000000"/>
              <w:right w:val="single" w:sz="4" w:space="0" w:color="000000"/>
            </w:tcBorders>
            <w:vAlign w:val="center"/>
          </w:tcPr>
          <w:p w14:paraId="1C6FF131"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15% del coste de personal</w:t>
            </w:r>
          </w:p>
        </w:tc>
        <w:tc>
          <w:tcPr>
            <w:tcW w:w="2693" w:type="dxa"/>
            <w:tcBorders>
              <w:top w:val="single" w:sz="4" w:space="0" w:color="000000"/>
              <w:left w:val="single" w:sz="4" w:space="0" w:color="000000"/>
              <w:bottom w:val="single" w:sz="4" w:space="0" w:color="000000"/>
              <w:right w:val="single" w:sz="4" w:space="0" w:color="000000"/>
            </w:tcBorders>
            <w:vAlign w:val="center"/>
          </w:tcPr>
          <w:p w14:paraId="0D849E0D"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Tipo fijo</w:t>
            </w:r>
          </w:p>
        </w:tc>
      </w:tr>
      <w:tr w:rsidR="008523EB" w14:paraId="0EF54987" w14:textId="77777777">
        <w:trPr>
          <w:trHeight w:val="139"/>
        </w:trPr>
        <w:tc>
          <w:tcPr>
            <w:tcW w:w="3259" w:type="dxa"/>
            <w:tcBorders>
              <w:top w:val="single" w:sz="4" w:space="0" w:color="000000"/>
              <w:left w:val="single" w:sz="4" w:space="0" w:color="000000"/>
              <w:bottom w:val="single" w:sz="4" w:space="0" w:color="000000"/>
              <w:right w:val="single" w:sz="4" w:space="0" w:color="000000"/>
            </w:tcBorders>
            <w:vAlign w:val="center"/>
          </w:tcPr>
          <w:p w14:paraId="02836134" w14:textId="77777777" w:rsidR="008523EB" w:rsidRDefault="00E4765A">
            <w:pPr>
              <w:spacing w:before="120" w:after="120"/>
              <w:jc w:val="left"/>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Gastos de viaje y alojamiento</w:t>
            </w:r>
          </w:p>
        </w:tc>
        <w:tc>
          <w:tcPr>
            <w:tcW w:w="2695" w:type="dxa"/>
            <w:tcBorders>
              <w:top w:val="single" w:sz="4" w:space="0" w:color="000000"/>
              <w:left w:val="single" w:sz="4" w:space="0" w:color="000000"/>
              <w:bottom w:val="single" w:sz="4" w:space="0" w:color="000000"/>
              <w:right w:val="single" w:sz="4" w:space="0" w:color="000000"/>
            </w:tcBorders>
            <w:vAlign w:val="center"/>
          </w:tcPr>
          <w:p w14:paraId="0534CC9B"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15% del coste de personal</w:t>
            </w:r>
          </w:p>
        </w:tc>
        <w:tc>
          <w:tcPr>
            <w:tcW w:w="2693" w:type="dxa"/>
            <w:tcBorders>
              <w:top w:val="single" w:sz="4" w:space="0" w:color="000000"/>
              <w:left w:val="single" w:sz="4" w:space="0" w:color="000000"/>
              <w:bottom w:val="single" w:sz="4" w:space="0" w:color="000000"/>
              <w:right w:val="single" w:sz="4" w:space="0" w:color="000000"/>
            </w:tcBorders>
            <w:vAlign w:val="center"/>
          </w:tcPr>
          <w:p w14:paraId="5599F914"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Tipo fijo</w:t>
            </w:r>
          </w:p>
        </w:tc>
      </w:tr>
      <w:tr w:rsidR="008523EB" w14:paraId="7B81E53B" w14:textId="77777777">
        <w:trPr>
          <w:trHeight w:val="137"/>
        </w:trPr>
        <w:tc>
          <w:tcPr>
            <w:tcW w:w="3259" w:type="dxa"/>
            <w:tcBorders>
              <w:top w:val="single" w:sz="4" w:space="0" w:color="000000"/>
              <w:left w:val="single" w:sz="4" w:space="0" w:color="000000"/>
              <w:bottom w:val="single" w:sz="4" w:space="0" w:color="000000"/>
              <w:right w:val="single" w:sz="4" w:space="0" w:color="000000"/>
            </w:tcBorders>
            <w:vAlign w:val="center"/>
          </w:tcPr>
          <w:p w14:paraId="73127F5B" w14:textId="77777777" w:rsidR="008523EB" w:rsidRDefault="00E4765A">
            <w:pPr>
              <w:spacing w:before="120" w:after="120"/>
              <w:jc w:val="left"/>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Gastos de servicios y asesoramiento externos</w:t>
            </w:r>
          </w:p>
        </w:tc>
        <w:tc>
          <w:tcPr>
            <w:tcW w:w="2695" w:type="dxa"/>
            <w:tcBorders>
              <w:top w:val="single" w:sz="4" w:space="0" w:color="000000"/>
              <w:left w:val="single" w:sz="4" w:space="0" w:color="000000"/>
              <w:bottom w:val="single" w:sz="4" w:space="0" w:color="000000"/>
              <w:right w:val="single" w:sz="4" w:space="0" w:color="000000"/>
            </w:tcBorders>
            <w:vAlign w:val="center"/>
          </w:tcPr>
          <w:p w14:paraId="27ACB28E"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14:paraId="274ACC07"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Coste real</w:t>
            </w:r>
          </w:p>
        </w:tc>
      </w:tr>
      <w:tr w:rsidR="008523EB" w14:paraId="4D8CD60E" w14:textId="77777777">
        <w:trPr>
          <w:trHeight w:val="140"/>
        </w:trPr>
        <w:tc>
          <w:tcPr>
            <w:tcW w:w="3259" w:type="dxa"/>
            <w:tcBorders>
              <w:top w:val="single" w:sz="4" w:space="0" w:color="000000"/>
              <w:left w:val="single" w:sz="4" w:space="0" w:color="000000"/>
              <w:bottom w:val="single" w:sz="4" w:space="0" w:color="000000"/>
              <w:right w:val="single" w:sz="4" w:space="0" w:color="000000"/>
            </w:tcBorders>
            <w:vAlign w:val="center"/>
          </w:tcPr>
          <w:p w14:paraId="41440D95" w14:textId="77777777" w:rsidR="008523EB" w:rsidRDefault="00E4765A">
            <w:pPr>
              <w:spacing w:before="120" w:after="120"/>
              <w:jc w:val="left"/>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Gastos en equipos</w:t>
            </w:r>
          </w:p>
        </w:tc>
        <w:tc>
          <w:tcPr>
            <w:tcW w:w="2695" w:type="dxa"/>
            <w:tcBorders>
              <w:top w:val="single" w:sz="4" w:space="0" w:color="000000"/>
              <w:left w:val="single" w:sz="4" w:space="0" w:color="000000"/>
              <w:bottom w:val="single" w:sz="4" w:space="0" w:color="000000"/>
              <w:right w:val="single" w:sz="4" w:space="0" w:color="000000"/>
            </w:tcBorders>
            <w:vAlign w:val="center"/>
          </w:tcPr>
          <w:p w14:paraId="6AC9DE6C"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14:paraId="5D66D882"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Coste real</w:t>
            </w:r>
          </w:p>
        </w:tc>
      </w:tr>
      <w:tr w:rsidR="008523EB" w14:paraId="74CE84DA" w14:textId="77777777">
        <w:trPr>
          <w:trHeight w:val="137"/>
        </w:trPr>
        <w:tc>
          <w:tcPr>
            <w:tcW w:w="3259" w:type="dxa"/>
            <w:tcBorders>
              <w:top w:val="single" w:sz="4" w:space="0" w:color="000000"/>
              <w:left w:val="single" w:sz="4" w:space="0" w:color="000000"/>
              <w:bottom w:val="single" w:sz="4" w:space="0" w:color="000000"/>
              <w:right w:val="single" w:sz="4" w:space="0" w:color="000000"/>
            </w:tcBorders>
            <w:vAlign w:val="center"/>
          </w:tcPr>
          <w:p w14:paraId="2EFCC754" w14:textId="77777777" w:rsidR="008523EB" w:rsidRDefault="00E4765A">
            <w:pPr>
              <w:spacing w:before="120" w:after="120"/>
              <w:jc w:val="left"/>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Gastos en infraestructura y obras</w:t>
            </w:r>
          </w:p>
        </w:tc>
        <w:tc>
          <w:tcPr>
            <w:tcW w:w="2695" w:type="dxa"/>
            <w:tcBorders>
              <w:top w:val="single" w:sz="4" w:space="0" w:color="000000"/>
              <w:left w:val="single" w:sz="4" w:space="0" w:color="000000"/>
              <w:bottom w:val="single" w:sz="4" w:space="0" w:color="000000"/>
              <w:right w:val="single" w:sz="4" w:space="0" w:color="000000"/>
            </w:tcBorders>
            <w:vAlign w:val="center"/>
          </w:tcPr>
          <w:p w14:paraId="3277BF1A"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14:paraId="36EB1D44" w14:textId="77777777" w:rsidR="008523EB" w:rsidRDefault="00E4765A">
            <w:pPr>
              <w:spacing w:before="120" w:after="120"/>
              <w:jc w:val="center"/>
              <w:rPr>
                <w:rFonts w:ascii="Tahoma" w:eastAsiaTheme="minorHAnsi" w:hAnsi="Tahoma" w:cs="Tahoma"/>
                <w:color w:val="000000" w:themeColor="text1"/>
                <w:sz w:val="20"/>
                <w:lang w:eastAsia="en-US"/>
              </w:rPr>
            </w:pPr>
            <w:r>
              <w:rPr>
                <w:rFonts w:ascii="Tahoma" w:eastAsiaTheme="minorHAnsi" w:hAnsi="Tahoma" w:cs="Tahoma"/>
                <w:color w:val="000000" w:themeColor="text1"/>
                <w:sz w:val="20"/>
                <w:lang w:eastAsia="en-US"/>
              </w:rPr>
              <w:t>Coste real</w:t>
            </w:r>
          </w:p>
        </w:tc>
      </w:tr>
    </w:tbl>
    <w:p w14:paraId="31CBA684" w14:textId="77777777" w:rsidR="008523EB" w:rsidRDefault="00E4765A">
      <w:pPr>
        <w:pStyle w:val="Default"/>
        <w:spacing w:before="120" w:after="120"/>
        <w:jc w:val="both"/>
        <w:rPr>
          <w:sz w:val="22"/>
          <w:szCs w:val="22"/>
        </w:rPr>
      </w:pPr>
      <w:r>
        <w:rPr>
          <w:sz w:val="22"/>
          <w:szCs w:val="22"/>
        </w:rPr>
        <w:t>*</w:t>
      </w:r>
      <w:r>
        <w:rPr>
          <w:sz w:val="18"/>
          <w:szCs w:val="18"/>
        </w:rPr>
        <w:t>Las empresas no podrán optar por la modalidad de costes unitarios para declarar personal</w:t>
      </w:r>
      <w:r>
        <w:rPr>
          <w:sz w:val="22"/>
          <w:szCs w:val="22"/>
        </w:rPr>
        <w:t>.</w:t>
      </w:r>
    </w:p>
    <w:p w14:paraId="6CBFF197" w14:textId="77777777" w:rsidR="008523EB" w:rsidRDefault="008523EB">
      <w:pPr>
        <w:pStyle w:val="Default"/>
        <w:spacing w:before="120" w:after="120"/>
        <w:jc w:val="both"/>
        <w:rPr>
          <w:sz w:val="22"/>
          <w:szCs w:val="22"/>
        </w:rPr>
      </w:pPr>
    </w:p>
    <w:p w14:paraId="1AA40D51" w14:textId="77777777" w:rsidR="008523EB" w:rsidRDefault="00E4765A">
      <w:pPr>
        <w:pStyle w:val="Ttulo1"/>
        <w:numPr>
          <w:ilvl w:val="0"/>
          <w:numId w:val="5"/>
        </w:numPr>
        <w:spacing w:before="120" w:after="120"/>
        <w:rPr>
          <w:rFonts w:ascii="Tahoma" w:hAnsi="Tahoma" w:cs="Tahoma"/>
          <w:b/>
          <w:color w:val="1F4E79" w:themeColor="accent1" w:themeShade="80"/>
          <w:sz w:val="22"/>
          <w:szCs w:val="22"/>
        </w:rPr>
      </w:pPr>
      <w:bookmarkStart w:id="16" w:name="_Toc188613826"/>
      <w:bookmarkStart w:id="17" w:name="_Toc190347174"/>
      <w:r>
        <w:rPr>
          <w:rFonts w:ascii="Tahoma" w:eastAsia="Arial Unicode MS" w:hAnsi="Tahoma" w:cs="Tahoma"/>
          <w:b/>
          <w:color w:val="1F4E79" w:themeColor="accent1" w:themeShade="80"/>
          <w:sz w:val="22"/>
          <w:szCs w:val="22"/>
          <w:lang w:eastAsia="zh-CN"/>
        </w:rPr>
        <w:t>NORMATIVA EN MATERIA DE CONTRATACIÓN</w:t>
      </w:r>
      <w:bookmarkEnd w:id="16"/>
      <w:bookmarkEnd w:id="17"/>
      <w:r>
        <w:rPr>
          <w:rFonts w:ascii="Tahoma" w:eastAsia="Arial Unicode MS" w:hAnsi="Tahoma" w:cs="Tahoma"/>
          <w:b/>
          <w:color w:val="1F4E79" w:themeColor="accent1" w:themeShade="80"/>
          <w:sz w:val="22"/>
          <w:szCs w:val="22"/>
          <w:lang w:eastAsia="zh-CN"/>
        </w:rPr>
        <w:t xml:space="preserve"> </w:t>
      </w:r>
    </w:p>
    <w:p w14:paraId="229F9FCA" w14:textId="77777777" w:rsidR="008523EB" w:rsidRDefault="00E4765A">
      <w:pPr>
        <w:spacing w:before="120" w:after="12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Las entidades beneficiarias de los proyectos deben participar de manera activa en la ejecución de las actividades aprobadas, por lo</w:t>
      </w:r>
      <w:r>
        <w:rPr>
          <w:rFonts w:ascii="Tahoma" w:eastAsiaTheme="minorHAnsi" w:hAnsi="Tahoma" w:cs="Tahoma"/>
          <w:color w:val="FF0000"/>
          <w:sz w:val="22"/>
          <w:szCs w:val="22"/>
          <w:lang w:eastAsia="en-US"/>
        </w:rPr>
        <w:t xml:space="preserve"> </w:t>
      </w:r>
      <w:r>
        <w:rPr>
          <w:rFonts w:ascii="Tahoma" w:eastAsiaTheme="minorHAnsi" w:hAnsi="Tahoma" w:cs="Tahoma"/>
          <w:color w:val="000000"/>
          <w:sz w:val="22"/>
          <w:szCs w:val="22"/>
          <w:lang w:eastAsia="en-US"/>
        </w:rPr>
        <w:t xml:space="preserve">que sólo podrán contratar aquellas </w:t>
      </w:r>
      <w:r>
        <w:rPr>
          <w:rFonts w:ascii="Tahoma" w:eastAsiaTheme="minorHAnsi" w:hAnsi="Tahoma" w:cs="Tahoma"/>
          <w:color w:val="000000"/>
          <w:sz w:val="22"/>
          <w:szCs w:val="22"/>
          <w:u w:val="single"/>
          <w:lang w:eastAsia="en-US"/>
        </w:rPr>
        <w:t xml:space="preserve">actividades que no puedan realizar por sí mismas o cuya realización por terceros permitan cumplir con los principios de </w:t>
      </w:r>
      <w:r>
        <w:rPr>
          <w:rFonts w:ascii="Tahoma" w:eastAsiaTheme="minorHAnsi" w:hAnsi="Tahoma" w:cs="Tahoma"/>
          <w:b/>
          <w:color w:val="000000"/>
          <w:sz w:val="22"/>
          <w:szCs w:val="22"/>
          <w:u w:val="single"/>
          <w:lang w:eastAsia="en-US"/>
        </w:rPr>
        <w:t>economía, eficacia y eficiencia</w:t>
      </w:r>
      <w:r>
        <w:rPr>
          <w:rFonts w:ascii="Tahoma" w:eastAsiaTheme="minorHAnsi" w:hAnsi="Tahoma" w:cs="Tahoma"/>
          <w:color w:val="000000"/>
          <w:sz w:val="22"/>
          <w:szCs w:val="22"/>
          <w:lang w:eastAsia="en-US"/>
        </w:rPr>
        <w:t xml:space="preserve"> que toda gestión de fondos públicos exige. </w:t>
      </w:r>
    </w:p>
    <w:p w14:paraId="60C1C72C" w14:textId="77777777" w:rsidR="008523EB" w:rsidRDefault="00E4765A">
      <w:pPr>
        <w:spacing w:before="120" w:after="12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Se entenderá que no puede realizarse una determinada actividad por sí mismo en los siguientes supuestos: </w:t>
      </w:r>
    </w:p>
    <w:p w14:paraId="0502C512" w14:textId="77777777" w:rsidR="008523EB" w:rsidRDefault="00E4765A">
      <w:pPr>
        <w:pStyle w:val="Prrafodelista"/>
        <w:numPr>
          <w:ilvl w:val="0"/>
          <w:numId w:val="4"/>
        </w:numPr>
        <w:spacing w:before="120" w:after="120"/>
        <w:contextualSpacing w:val="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lastRenderedPageBreak/>
        <w:t xml:space="preserve">Cuando se contraten actuaciones que no constituyen el objeto de la actividad cofinanciada, sino un medio para lograrla. </w:t>
      </w:r>
    </w:p>
    <w:p w14:paraId="564EEE19" w14:textId="77777777" w:rsidR="008523EB" w:rsidRDefault="00E4765A">
      <w:pPr>
        <w:pStyle w:val="Prrafodelista"/>
        <w:numPr>
          <w:ilvl w:val="0"/>
          <w:numId w:val="4"/>
        </w:numPr>
        <w:spacing w:before="120" w:after="120"/>
        <w:contextualSpacing w:val="0"/>
        <w:rPr>
          <w:rFonts w:ascii="Tahoma" w:eastAsiaTheme="minorHAnsi" w:hAnsi="Tahoma" w:cs="Tahoma"/>
          <w:color w:val="000000" w:themeColor="text1"/>
          <w:sz w:val="22"/>
          <w:szCs w:val="22"/>
          <w:lang w:eastAsia="en-US"/>
        </w:rPr>
      </w:pPr>
      <w:r>
        <w:rPr>
          <w:rFonts w:ascii="Tahoma" w:eastAsiaTheme="minorHAnsi" w:hAnsi="Tahoma" w:cs="Tahoma"/>
          <w:color w:val="000000" w:themeColor="text1"/>
          <w:sz w:val="22"/>
          <w:szCs w:val="22"/>
          <w:lang w:eastAsia="en-US"/>
        </w:rPr>
        <w:t>Cuando el objeto del contrato no se espera que deba ser realizado personalmente por el beneficiario porque no constituya el objeto de su actividad, o</w:t>
      </w:r>
      <w:r>
        <w:rPr>
          <w:rFonts w:ascii="Tahoma" w:eastAsiaTheme="minorHAnsi" w:hAnsi="Tahoma" w:cs="Tahoma"/>
          <w:color w:val="00B0F0"/>
          <w:sz w:val="22"/>
          <w:szCs w:val="22"/>
          <w:lang w:eastAsia="en-US"/>
        </w:rPr>
        <w:t xml:space="preserve"> </w:t>
      </w:r>
      <w:r>
        <w:rPr>
          <w:rFonts w:ascii="Tahoma" w:eastAsiaTheme="minorHAnsi" w:hAnsi="Tahoma" w:cs="Tahoma"/>
          <w:color w:val="000000" w:themeColor="text1"/>
          <w:sz w:val="22"/>
          <w:szCs w:val="22"/>
          <w:lang w:eastAsia="en-US"/>
        </w:rPr>
        <w:t xml:space="preserve">cuando el beneficiario no cuente con medios personales o materiales suficientes para llevar a cabo la actividad cofinanciada. </w:t>
      </w:r>
    </w:p>
    <w:p w14:paraId="2D111584" w14:textId="77777777" w:rsidR="008523EB" w:rsidRDefault="00E4765A">
      <w:pPr>
        <w:spacing w:before="120" w:after="120"/>
      </w:pPr>
      <w:r>
        <w:rPr>
          <w:rFonts w:ascii="Tahoma" w:hAnsi="Tahoma" w:cs="Tahoma"/>
          <w:sz w:val="22"/>
          <w:szCs w:val="22"/>
        </w:rPr>
        <w:t>Cuando se lleven a cabo contrataciones será necesario cumplir con la legislación aplicable sobre contratación, así como respetar las políticas y directivas nacionales y comunitarias en esta materia.</w:t>
      </w:r>
    </w:p>
    <w:p w14:paraId="03733A08" w14:textId="77777777" w:rsidR="008523EB" w:rsidRDefault="00E4765A">
      <w:pPr>
        <w:spacing w:before="120" w:after="12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Toda la documentación correspondiente a los procesos de contratación deberá ser conservada, tanto por la entidad contratada como por la entidad contratante, con el fin de facilitar los procesos de auditoría y control. Dicha documentación deberá subirse al apartado “Expediente de Contratación” del sistema informático de gestión del programa (e-Mac).</w:t>
      </w:r>
    </w:p>
    <w:p w14:paraId="7685E68C" w14:textId="77777777" w:rsidR="008523EB" w:rsidRDefault="00E4765A">
      <w:pPr>
        <w:spacing w:before="120" w:after="120"/>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Además, los contratistas deberán comprometerse a facilitar a los organismos responsables de estos procesos toda la documentación relacionada con las actividades contratadas. </w:t>
      </w:r>
    </w:p>
    <w:p w14:paraId="09EA780E" w14:textId="77777777" w:rsidR="008523EB" w:rsidRDefault="00E4765A">
      <w:pPr>
        <w:pStyle w:val="Default"/>
        <w:spacing w:before="120" w:after="120"/>
        <w:jc w:val="both"/>
        <w:rPr>
          <w:b/>
          <w:color w:val="000000" w:themeColor="text1"/>
          <w:sz w:val="22"/>
          <w:szCs w:val="22"/>
        </w:rPr>
      </w:pPr>
      <w:r>
        <w:rPr>
          <w:b/>
          <w:color w:val="000000" w:themeColor="text1"/>
          <w:sz w:val="22"/>
          <w:szCs w:val="22"/>
        </w:rPr>
        <w:t>Finalmente, NO estará permitida:</w:t>
      </w:r>
    </w:p>
    <w:p w14:paraId="030C79D8" w14:textId="77777777" w:rsidR="008523EB" w:rsidRDefault="00E4765A">
      <w:pPr>
        <w:pStyle w:val="Default"/>
        <w:numPr>
          <w:ilvl w:val="0"/>
          <w:numId w:val="9"/>
        </w:numPr>
        <w:spacing w:before="120" w:after="120"/>
        <w:jc w:val="both"/>
        <w:rPr>
          <w:sz w:val="22"/>
          <w:szCs w:val="22"/>
        </w:rPr>
      </w:pPr>
      <w:r>
        <w:rPr>
          <w:sz w:val="22"/>
          <w:szCs w:val="22"/>
        </w:rPr>
        <w:t xml:space="preserve">La </w:t>
      </w:r>
      <w:r>
        <w:rPr>
          <w:bCs/>
          <w:sz w:val="22"/>
          <w:szCs w:val="22"/>
        </w:rPr>
        <w:t xml:space="preserve">contratación entre las entidades participantes en el proyecto </w:t>
      </w:r>
      <w:r>
        <w:rPr>
          <w:sz w:val="22"/>
          <w:szCs w:val="22"/>
        </w:rPr>
        <w:t>para llevar a cabo actividades o servicios en el marco de dicho proyecto.</w:t>
      </w:r>
    </w:p>
    <w:p w14:paraId="10AB1542" w14:textId="77777777" w:rsidR="008523EB" w:rsidRDefault="00E4765A">
      <w:pPr>
        <w:pStyle w:val="Default"/>
        <w:numPr>
          <w:ilvl w:val="0"/>
          <w:numId w:val="9"/>
        </w:numPr>
        <w:spacing w:before="120" w:after="120"/>
        <w:jc w:val="both"/>
        <w:rPr>
          <w:sz w:val="22"/>
          <w:szCs w:val="22"/>
        </w:rPr>
      </w:pPr>
      <w:r>
        <w:rPr>
          <w:bCs/>
          <w:sz w:val="22"/>
          <w:szCs w:val="22"/>
        </w:rPr>
        <w:t>L</w:t>
      </w:r>
      <w:r>
        <w:rPr>
          <w:sz w:val="22"/>
          <w:szCs w:val="22"/>
        </w:rPr>
        <w:t>a contratación con entidades a las que el beneficiario se encuentre legalmente vinculado, tenga participación o pertenezca al mismo grupo empresarial.</w:t>
      </w:r>
      <w:r>
        <w:rPr>
          <w:rStyle w:val="Refdenotaalpie"/>
          <w:sz w:val="22"/>
          <w:szCs w:val="22"/>
        </w:rPr>
        <w:footnoteReference w:id="1"/>
      </w:r>
      <w:r>
        <w:rPr>
          <w:sz w:val="22"/>
          <w:szCs w:val="22"/>
        </w:rPr>
        <w:t xml:space="preserve"> </w:t>
      </w:r>
    </w:p>
    <w:p w14:paraId="0E5B4AE4" w14:textId="77777777" w:rsidR="008523EB" w:rsidRDefault="00E4765A">
      <w:pPr>
        <w:pStyle w:val="Default"/>
        <w:numPr>
          <w:ilvl w:val="0"/>
          <w:numId w:val="9"/>
        </w:numPr>
        <w:spacing w:before="120" w:after="120"/>
        <w:jc w:val="both"/>
        <w:rPr>
          <w:sz w:val="22"/>
          <w:szCs w:val="22"/>
        </w:rPr>
      </w:pPr>
      <w:r>
        <w:rPr>
          <w:bCs/>
          <w:sz w:val="22"/>
          <w:szCs w:val="22"/>
        </w:rPr>
        <w:t>L</w:t>
      </w:r>
      <w:r>
        <w:rPr>
          <w:sz w:val="22"/>
          <w:szCs w:val="22"/>
        </w:rPr>
        <w:t xml:space="preserve">a </w:t>
      </w:r>
      <w:r>
        <w:rPr>
          <w:bCs/>
          <w:sz w:val="22"/>
          <w:szCs w:val="22"/>
        </w:rPr>
        <w:t>autofacturación</w:t>
      </w:r>
      <w:r>
        <w:rPr>
          <w:sz w:val="22"/>
          <w:szCs w:val="22"/>
        </w:rPr>
        <w:t xml:space="preserve">, </w:t>
      </w:r>
      <w:r>
        <w:rPr>
          <w:color w:val="000000" w:themeColor="text1"/>
          <w:sz w:val="22"/>
          <w:szCs w:val="22"/>
        </w:rPr>
        <w:t xml:space="preserve">entendida como </w:t>
      </w:r>
      <w:r>
        <w:rPr>
          <w:sz w:val="22"/>
          <w:szCs w:val="22"/>
        </w:rPr>
        <w:t>gastos realizados que impliquen facturaciones internas dentro de una misma entidad beneficiaria, por ejemplo, entre diferentes divisiones o departamentos de una misma entidad.</w:t>
      </w:r>
    </w:p>
    <w:p w14:paraId="5F54C300" w14:textId="77777777" w:rsidR="00FB1485" w:rsidRDefault="00FB1485" w:rsidP="00FB1485">
      <w:pPr>
        <w:pStyle w:val="Default"/>
        <w:spacing w:before="120" w:after="120"/>
        <w:ind w:left="720"/>
        <w:jc w:val="both"/>
        <w:rPr>
          <w:sz w:val="22"/>
          <w:szCs w:val="22"/>
        </w:rPr>
      </w:pPr>
    </w:p>
    <w:p w14:paraId="51C9BD5A"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eastAsia="zh-CN"/>
        </w:rPr>
      </w:pPr>
      <w:bookmarkStart w:id="18" w:name="_Toc188613827"/>
      <w:bookmarkStart w:id="19" w:name="_Toc190347175"/>
      <w:r>
        <w:rPr>
          <w:rFonts w:ascii="Tahoma" w:eastAsia="Arial Unicode MS" w:hAnsi="Tahoma" w:cs="Tahoma"/>
          <w:b/>
          <w:color w:val="1F4E79" w:themeColor="accent1" w:themeShade="80"/>
          <w:sz w:val="22"/>
          <w:szCs w:val="22"/>
          <w:lang w:eastAsia="zh-CN"/>
        </w:rPr>
        <w:t>NORMATIVA EN MATERIA DE AYUDAS DE ESTADO.</w:t>
      </w:r>
      <w:bookmarkEnd w:id="18"/>
      <w:bookmarkEnd w:id="19"/>
    </w:p>
    <w:p w14:paraId="4372042E" w14:textId="77777777" w:rsidR="008523EB" w:rsidRDefault="00E4765A">
      <w:pPr>
        <w:pStyle w:val="Standard"/>
        <w:spacing w:before="120" w:after="120"/>
        <w:jc w:val="both"/>
        <w:rPr>
          <w:rFonts w:ascii="Tahoma" w:eastAsiaTheme="minorHAnsi" w:hAnsi="Tahoma"/>
          <w:kern w:val="0"/>
          <w:sz w:val="22"/>
          <w:szCs w:val="22"/>
          <w:u w:val="single"/>
          <w:lang w:eastAsia="en-US" w:bidi="ar-SA"/>
        </w:rPr>
      </w:pPr>
      <w:r>
        <w:rPr>
          <w:rFonts w:ascii="Tahoma" w:eastAsiaTheme="minorHAnsi" w:hAnsi="Tahoma"/>
          <w:kern w:val="0"/>
          <w:sz w:val="22"/>
          <w:szCs w:val="22"/>
          <w:lang w:eastAsia="en-US" w:bidi="ar-SA"/>
        </w:rPr>
        <w:t>10.1</w:t>
      </w:r>
      <w:r>
        <w:rPr>
          <w:rFonts w:ascii="Tahoma" w:eastAsiaTheme="minorHAnsi" w:hAnsi="Tahoma"/>
          <w:kern w:val="0"/>
          <w:sz w:val="22"/>
          <w:szCs w:val="22"/>
          <w:u w:val="single"/>
          <w:lang w:eastAsia="en-US" w:bidi="ar-SA"/>
        </w:rPr>
        <w:t>. Empresas que participen como socias beneficiarias en proyectos aprobados en el Objetivo Específico OE 1.1.</w:t>
      </w:r>
    </w:p>
    <w:p w14:paraId="0817346D" w14:textId="77777777" w:rsidR="008523EB" w:rsidRDefault="00E4765A">
      <w:pPr>
        <w:pStyle w:val="Standard"/>
        <w:spacing w:before="120" w:after="120"/>
        <w:jc w:val="both"/>
        <w:rPr>
          <w:rFonts w:ascii="Tahoma" w:eastAsiaTheme="minorHAnsi" w:hAnsi="Tahoma"/>
          <w:kern w:val="0"/>
          <w:sz w:val="22"/>
          <w:szCs w:val="22"/>
          <w:lang w:eastAsia="en-US" w:bidi="ar-SA"/>
        </w:rPr>
      </w:pPr>
      <w:r>
        <w:rPr>
          <w:rFonts w:ascii="Tahoma" w:eastAsiaTheme="minorHAnsi" w:hAnsi="Tahoma"/>
          <w:kern w:val="0"/>
          <w:sz w:val="22"/>
          <w:szCs w:val="22"/>
          <w:lang w:eastAsia="en-US" w:bidi="ar-SA"/>
        </w:rPr>
        <w:t xml:space="preserve">A las empresas que participen como socias beneficiarias en proyectos aprobados en el marco del Objetivo Específico OE 1.1. les será de aplicación lo establecido en el artículo 20 del </w:t>
      </w:r>
      <w:r>
        <w:rPr>
          <w:rFonts w:ascii="Tahoma" w:eastAsiaTheme="minorHAnsi" w:hAnsi="Tahoma"/>
          <w:kern w:val="0"/>
          <w:sz w:val="22"/>
          <w:szCs w:val="22"/>
          <w:u w:val="single"/>
          <w:lang w:eastAsia="en-US" w:bidi="ar-SA"/>
        </w:rPr>
        <w:t>Reglamento General de Exención por Categorías</w:t>
      </w:r>
      <w:r>
        <w:rPr>
          <w:rFonts w:ascii="Tahoma" w:eastAsiaTheme="minorHAnsi" w:hAnsi="Tahoma"/>
          <w:kern w:val="0"/>
          <w:sz w:val="22"/>
          <w:szCs w:val="22"/>
          <w:lang w:eastAsia="en-US" w:bidi="ar-SA"/>
        </w:rPr>
        <w:t xml:space="preserve"> (RGEC), con los siguientes límites:</w:t>
      </w:r>
    </w:p>
    <w:p w14:paraId="7D42F9A8" w14:textId="77777777" w:rsidR="008523EB" w:rsidRDefault="00E4765A">
      <w:pPr>
        <w:pStyle w:val="Standard"/>
        <w:numPr>
          <w:ilvl w:val="0"/>
          <w:numId w:val="14"/>
        </w:numPr>
        <w:spacing w:before="120" w:after="120"/>
        <w:jc w:val="both"/>
        <w:rPr>
          <w:rFonts w:ascii="Tahoma" w:eastAsiaTheme="minorHAnsi" w:hAnsi="Tahoma"/>
          <w:kern w:val="0"/>
          <w:sz w:val="22"/>
          <w:szCs w:val="22"/>
          <w:lang w:eastAsia="en-US" w:bidi="ar-SA"/>
        </w:rPr>
      </w:pPr>
      <w:r>
        <w:rPr>
          <w:rFonts w:ascii="Tahoma" w:eastAsiaTheme="minorHAnsi" w:hAnsi="Tahoma"/>
          <w:kern w:val="0"/>
          <w:sz w:val="22"/>
          <w:szCs w:val="22"/>
          <w:lang w:eastAsia="en-US" w:bidi="ar-SA"/>
        </w:rPr>
        <w:t>Las ayudas a los costes en que incurran las empresas estarán limitadas a un importe máximo por empresa y por proyecto de 100.000,00 €.</w:t>
      </w:r>
    </w:p>
    <w:p w14:paraId="0D70ADDA" w14:textId="77777777" w:rsidR="008523EB" w:rsidRDefault="00E4765A">
      <w:pPr>
        <w:pStyle w:val="Standard"/>
        <w:numPr>
          <w:ilvl w:val="0"/>
          <w:numId w:val="14"/>
        </w:numPr>
        <w:spacing w:before="120" w:after="120"/>
        <w:jc w:val="both"/>
        <w:rPr>
          <w:rFonts w:ascii="Tahoma" w:eastAsiaTheme="minorHAnsi" w:hAnsi="Tahoma"/>
          <w:kern w:val="0"/>
          <w:sz w:val="22"/>
          <w:szCs w:val="22"/>
          <w:lang w:eastAsia="en-US" w:bidi="ar-SA"/>
        </w:rPr>
      </w:pPr>
      <w:r>
        <w:rPr>
          <w:rFonts w:ascii="Tahoma" w:eastAsiaTheme="minorHAnsi" w:hAnsi="Tahoma"/>
          <w:kern w:val="0"/>
          <w:sz w:val="22"/>
          <w:szCs w:val="22"/>
          <w:lang w:eastAsia="en-US" w:bidi="ar-SA"/>
        </w:rPr>
        <w:t>Las categorías de gastos subvencionables serán las previstas en el punto 6. de este documento.</w:t>
      </w:r>
    </w:p>
    <w:p w14:paraId="36CA3593" w14:textId="77777777" w:rsidR="008523EB" w:rsidRDefault="00E4765A">
      <w:pPr>
        <w:pStyle w:val="Standard"/>
        <w:numPr>
          <w:ilvl w:val="0"/>
          <w:numId w:val="14"/>
        </w:numPr>
        <w:spacing w:before="120" w:after="120"/>
        <w:jc w:val="both"/>
        <w:rPr>
          <w:rFonts w:ascii="Tahoma" w:eastAsiaTheme="minorHAnsi" w:hAnsi="Tahoma"/>
          <w:kern w:val="0"/>
          <w:sz w:val="22"/>
          <w:szCs w:val="22"/>
          <w:lang w:eastAsia="en-US" w:bidi="ar-SA"/>
        </w:rPr>
      </w:pPr>
      <w:r>
        <w:rPr>
          <w:rFonts w:ascii="Tahoma" w:eastAsiaTheme="minorHAnsi" w:hAnsi="Tahoma"/>
          <w:kern w:val="0"/>
          <w:sz w:val="22"/>
          <w:szCs w:val="22"/>
          <w:lang w:eastAsia="en-US" w:bidi="ar-SA"/>
        </w:rPr>
        <w:lastRenderedPageBreak/>
        <w:t>La intensidad de la ayuda se corresponderá con la tasa de cofinanciación del programa (85%).</w:t>
      </w:r>
    </w:p>
    <w:p w14:paraId="067616C8" w14:textId="77777777" w:rsidR="008523EB" w:rsidRDefault="00E4765A">
      <w:pPr>
        <w:pStyle w:val="Standard"/>
        <w:spacing w:before="120" w:after="120"/>
        <w:jc w:val="both"/>
        <w:rPr>
          <w:rFonts w:ascii="Tahoma" w:eastAsiaTheme="minorHAnsi" w:hAnsi="Tahoma"/>
          <w:kern w:val="0"/>
          <w:sz w:val="22"/>
          <w:szCs w:val="22"/>
          <w:lang w:eastAsia="en-US" w:bidi="ar-SA"/>
        </w:rPr>
      </w:pPr>
      <w:r>
        <w:rPr>
          <w:rFonts w:ascii="Tahoma" w:eastAsiaTheme="minorHAnsi" w:hAnsi="Tahoma"/>
          <w:kern w:val="0"/>
          <w:sz w:val="22"/>
          <w:szCs w:val="22"/>
          <w:lang w:eastAsia="en-US" w:bidi="ar-SA"/>
        </w:rPr>
        <w:t>La Autoridad de Gestión procederá a realizar la correspondiente comunicación a la Comisión Europea conforme al artículo 11 del RGEC.</w:t>
      </w:r>
    </w:p>
    <w:p w14:paraId="7B54A9FB" w14:textId="77777777" w:rsidR="008523EB" w:rsidRDefault="00E4765A">
      <w:pPr>
        <w:pStyle w:val="Standard"/>
        <w:spacing w:before="120" w:after="120"/>
        <w:jc w:val="both"/>
        <w:rPr>
          <w:rFonts w:ascii="Tahoma" w:eastAsiaTheme="minorHAnsi" w:hAnsi="Tahoma"/>
          <w:kern w:val="0"/>
          <w:sz w:val="22"/>
          <w:szCs w:val="22"/>
          <w:u w:val="single"/>
          <w:lang w:eastAsia="en-US" w:bidi="ar-SA"/>
        </w:rPr>
      </w:pPr>
      <w:r>
        <w:rPr>
          <w:rFonts w:ascii="Tahoma" w:eastAsiaTheme="minorHAnsi" w:hAnsi="Tahoma"/>
          <w:kern w:val="0"/>
          <w:sz w:val="22"/>
          <w:szCs w:val="22"/>
          <w:lang w:eastAsia="en-US" w:bidi="ar-SA"/>
        </w:rPr>
        <w:t xml:space="preserve">10.2. </w:t>
      </w:r>
      <w:r>
        <w:rPr>
          <w:rFonts w:ascii="Tahoma" w:eastAsiaTheme="minorHAnsi" w:hAnsi="Tahoma"/>
          <w:kern w:val="0"/>
          <w:sz w:val="22"/>
          <w:szCs w:val="22"/>
          <w:u w:val="single"/>
          <w:lang w:eastAsia="en-US" w:bidi="ar-SA"/>
        </w:rPr>
        <w:t>Empresas destinatarias de ayudas en proyectos aprobados en el marco de los Objetivos Específicos OE 1.1.; OE 1.3.; OE 2.1.; OE2.2.; OE 2.6.</w:t>
      </w:r>
    </w:p>
    <w:p w14:paraId="7A09EC47" w14:textId="77777777" w:rsidR="008523EB" w:rsidRDefault="00E4765A">
      <w:pPr>
        <w:pStyle w:val="Standard"/>
        <w:spacing w:before="120" w:after="120"/>
        <w:jc w:val="both"/>
        <w:rPr>
          <w:rFonts w:ascii="Tahoma" w:eastAsiaTheme="minorHAnsi" w:hAnsi="Tahoma"/>
          <w:kern w:val="0"/>
          <w:sz w:val="22"/>
          <w:szCs w:val="22"/>
          <w:lang w:eastAsia="en-US" w:bidi="ar-SA"/>
        </w:rPr>
      </w:pPr>
      <w:r>
        <w:rPr>
          <w:rFonts w:ascii="Tahoma" w:eastAsiaTheme="minorHAnsi" w:hAnsi="Tahoma"/>
          <w:kern w:val="0"/>
          <w:sz w:val="22"/>
          <w:szCs w:val="22"/>
          <w:lang w:eastAsia="en-US" w:bidi="ar-SA"/>
        </w:rPr>
        <w:t>El importe total de ayuda concedida a las empresas que puedan verse beneficiadas como destinatarias últimas de las ayudas en el marco de las actividades previstas en proyectos aprobados en los Objetivos Específicos OE 1.1.; OE 1.3.; OE 2.1.; OE2.2.; OE 2.6. no excederá de 22.000,00 € por empresa y por proyecto, de conformidad con lo establecido en el artículo 20 bis del RGEC.</w:t>
      </w:r>
    </w:p>
    <w:p w14:paraId="69BA67C9" w14:textId="77777777" w:rsidR="008523EB" w:rsidRDefault="008523EB">
      <w:pPr>
        <w:pStyle w:val="Standard"/>
        <w:spacing w:before="120" w:after="120"/>
        <w:jc w:val="both"/>
        <w:rPr>
          <w:rFonts w:ascii="Tahoma" w:eastAsiaTheme="minorHAnsi" w:hAnsi="Tahoma"/>
          <w:kern w:val="0"/>
          <w:sz w:val="22"/>
          <w:szCs w:val="22"/>
          <w:lang w:eastAsia="en-US" w:bidi="ar-SA"/>
        </w:rPr>
      </w:pPr>
    </w:p>
    <w:p w14:paraId="2F2C7DEF" w14:textId="77777777" w:rsidR="008523EB" w:rsidRDefault="00E4765A">
      <w:pPr>
        <w:pStyle w:val="Ttulo1"/>
        <w:numPr>
          <w:ilvl w:val="0"/>
          <w:numId w:val="5"/>
        </w:numPr>
        <w:spacing w:before="120" w:after="120"/>
        <w:rPr>
          <w:rFonts w:ascii="Tahoma" w:eastAsia="Arial Unicode MS" w:hAnsi="Tahoma" w:cs="Tahoma"/>
          <w:b/>
          <w:color w:val="2F5496" w:themeColor="accent5" w:themeShade="BF"/>
          <w:sz w:val="22"/>
          <w:szCs w:val="22"/>
          <w:lang w:eastAsia="zh-CN"/>
        </w:rPr>
      </w:pPr>
      <w:bookmarkStart w:id="20" w:name="_Toc188613828"/>
      <w:bookmarkStart w:id="21" w:name="_Toc190347176"/>
      <w:r>
        <w:rPr>
          <w:rFonts w:ascii="Tahoma" w:eastAsia="Arial Unicode MS" w:hAnsi="Tahoma" w:cs="Tahoma"/>
          <w:b/>
          <w:color w:val="2F5496" w:themeColor="accent5" w:themeShade="BF"/>
          <w:sz w:val="22"/>
          <w:szCs w:val="22"/>
          <w:lang w:eastAsia="zh-CN"/>
        </w:rPr>
        <w:t>TRATAMIENTO DE LOS INGRESOS GENERADOS</w:t>
      </w:r>
      <w:bookmarkEnd w:id="20"/>
      <w:bookmarkEnd w:id="21"/>
    </w:p>
    <w:p w14:paraId="58E81396" w14:textId="77777777" w:rsidR="008523EB" w:rsidRDefault="00E4765A">
      <w:pPr>
        <w:spacing w:before="120" w:after="120"/>
        <w:rPr>
          <w:rFonts w:ascii="Tahoma" w:hAnsi="Tahoma" w:cs="Tahoma"/>
          <w:sz w:val="22"/>
          <w:szCs w:val="22"/>
        </w:rPr>
      </w:pPr>
      <w:r>
        <w:rPr>
          <w:rFonts w:ascii="Tahoma" w:hAnsi="Tahoma" w:cs="Tahoma"/>
          <w:sz w:val="22"/>
          <w:szCs w:val="22"/>
        </w:rPr>
        <w:t>En caso de que algún beneficiario declarara gastos en una actividad del proyecto que prevea generar ingresos o los haya generado ya, deberá notificar dicha circunstancia al Controlador Regional con un breve informe adjunto al gasto, aportando el cálculo de dichos ingresos o su estimación.</w:t>
      </w:r>
    </w:p>
    <w:p w14:paraId="5A44528F" w14:textId="77777777" w:rsidR="008523EB" w:rsidRDefault="008523EB">
      <w:pPr>
        <w:spacing w:before="120" w:after="120"/>
        <w:rPr>
          <w:rFonts w:ascii="Tahoma" w:hAnsi="Tahoma" w:cs="Tahoma"/>
          <w:strike/>
          <w:sz w:val="22"/>
          <w:szCs w:val="22"/>
        </w:rPr>
      </w:pPr>
    </w:p>
    <w:p w14:paraId="0A201577"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eastAsia="zh-CN"/>
        </w:rPr>
      </w:pPr>
      <w:bookmarkStart w:id="22" w:name="_Toc188613829"/>
      <w:bookmarkStart w:id="23" w:name="_Toc190347177"/>
      <w:r>
        <w:rPr>
          <w:rFonts w:ascii="Tahoma" w:eastAsia="Arial Unicode MS" w:hAnsi="Tahoma" w:cs="Tahoma"/>
          <w:b/>
          <w:color w:val="1F4E79" w:themeColor="accent1" w:themeShade="80"/>
          <w:sz w:val="22"/>
          <w:szCs w:val="22"/>
          <w:lang w:eastAsia="zh-CN"/>
        </w:rPr>
        <w:t>UNIDAD MONETARIA APLICABLE</w:t>
      </w:r>
      <w:bookmarkEnd w:id="22"/>
      <w:bookmarkEnd w:id="23"/>
    </w:p>
    <w:p w14:paraId="0BE41DB9" w14:textId="77777777" w:rsidR="008523EB" w:rsidRDefault="00E4765A">
      <w:pPr>
        <w:spacing w:before="120" w:after="120"/>
        <w:rPr>
          <w:rFonts w:ascii="Tahoma" w:hAnsi="Tahoma" w:cs="Tahoma"/>
          <w:sz w:val="22"/>
          <w:szCs w:val="22"/>
        </w:rPr>
      </w:pPr>
      <w:r>
        <w:rPr>
          <w:rFonts w:ascii="Tahoma" w:hAnsi="Tahoma" w:cs="Tahoma"/>
          <w:sz w:val="22"/>
          <w:szCs w:val="22"/>
        </w:rPr>
        <w:t xml:space="preserve">El euro será la moneda aplicable en este Programa de Cooperación.  El importe de los gastos efectuados en moneda diferente al euro debe ser convertido a su valor en euros para poder ser declarados. </w:t>
      </w:r>
    </w:p>
    <w:p w14:paraId="4954EB1E" w14:textId="77777777" w:rsidR="008523EB" w:rsidRDefault="00E4765A">
      <w:pPr>
        <w:spacing w:before="120" w:after="120"/>
        <w:rPr>
          <w:rFonts w:ascii="Tahoma" w:hAnsi="Tahoma" w:cs="Tahoma"/>
          <w:color w:val="000000" w:themeColor="text1"/>
          <w:sz w:val="22"/>
          <w:szCs w:val="22"/>
        </w:rPr>
      </w:pPr>
      <w:r>
        <w:rPr>
          <w:rFonts w:ascii="Tahoma" w:hAnsi="Tahoma" w:cs="Tahoma"/>
          <w:color w:val="000000" w:themeColor="text1"/>
          <w:sz w:val="22"/>
          <w:szCs w:val="22"/>
        </w:rPr>
        <w:t xml:space="preserve">La conversión a euros se hará </w:t>
      </w:r>
      <w:r>
        <w:rPr>
          <w:rFonts w:ascii="Tahoma" w:hAnsi="Tahoma" w:cs="Tahoma"/>
          <w:color w:val="000000" w:themeColor="text1"/>
          <w:sz w:val="22"/>
          <w:szCs w:val="22"/>
          <w:u w:val="single"/>
        </w:rPr>
        <w:t xml:space="preserve">aplicando el tipo de cambio contable fijado por la Comisión Europea en el mes en el que los gastos se </w:t>
      </w:r>
      <w:r>
        <w:rPr>
          <w:rFonts w:ascii="Tahoma" w:hAnsi="Tahoma" w:cs="Tahoma"/>
          <w:sz w:val="22"/>
          <w:szCs w:val="22"/>
          <w:u w:val="single"/>
        </w:rPr>
        <w:t>paguen</w:t>
      </w:r>
      <w:r>
        <w:rPr>
          <w:rStyle w:val="Refdenotaalpie"/>
          <w:rFonts w:ascii="Tahoma" w:hAnsi="Tahoma" w:cs="Tahoma"/>
          <w:color w:val="000000" w:themeColor="text1"/>
          <w:sz w:val="22"/>
          <w:szCs w:val="22"/>
          <w:u w:val="single"/>
        </w:rPr>
        <w:footnoteReference w:id="2"/>
      </w:r>
      <w:r>
        <w:rPr>
          <w:rFonts w:ascii="Tahoma" w:hAnsi="Tahoma" w:cs="Tahoma"/>
          <w:color w:val="000000" w:themeColor="text1"/>
          <w:sz w:val="22"/>
          <w:szCs w:val="22"/>
          <w:u w:val="single"/>
        </w:rPr>
        <w:t xml:space="preserve">, </w:t>
      </w:r>
      <w:r>
        <w:rPr>
          <w:rFonts w:ascii="Tahoma" w:hAnsi="Tahoma" w:cs="Tahoma"/>
          <w:color w:val="000000" w:themeColor="text1"/>
          <w:sz w:val="22"/>
          <w:szCs w:val="22"/>
        </w:rPr>
        <w:t xml:space="preserve">debiendo el beneficiario acreditar el cálculo efectuado al declarar el gasto aportando la información necesaria. </w:t>
      </w:r>
    </w:p>
    <w:p w14:paraId="59CCBE7B" w14:textId="77777777" w:rsidR="008523EB" w:rsidRDefault="008523EB">
      <w:pPr>
        <w:spacing w:before="120" w:after="120"/>
        <w:rPr>
          <w:rStyle w:val="Hipervnculo"/>
          <w:rFonts w:ascii="Tahoma" w:hAnsi="Tahoma" w:cs="Tahoma"/>
          <w:color w:val="FF0000"/>
          <w:sz w:val="22"/>
          <w:szCs w:val="22"/>
          <w:u w:val="none"/>
        </w:rPr>
      </w:pPr>
    </w:p>
    <w:p w14:paraId="1EB453B2" w14:textId="77777777" w:rsidR="008523EB" w:rsidRDefault="00E4765A">
      <w:pPr>
        <w:pStyle w:val="Ttulo1"/>
        <w:numPr>
          <w:ilvl w:val="0"/>
          <w:numId w:val="5"/>
        </w:numPr>
        <w:spacing w:before="120" w:after="120"/>
        <w:rPr>
          <w:rFonts w:ascii="Tahoma" w:eastAsia="Arial Unicode MS" w:hAnsi="Tahoma" w:cs="Tahoma"/>
          <w:b/>
          <w:color w:val="1F4E79" w:themeColor="accent1" w:themeShade="80"/>
          <w:sz w:val="22"/>
          <w:szCs w:val="22"/>
          <w:lang w:eastAsia="zh-CN"/>
        </w:rPr>
      </w:pPr>
      <w:bookmarkStart w:id="24" w:name="_Toc188613830"/>
      <w:bookmarkStart w:id="25" w:name="_Toc190347178"/>
      <w:r>
        <w:rPr>
          <w:rFonts w:ascii="Tahoma" w:eastAsia="Arial Unicode MS" w:hAnsi="Tahoma" w:cs="Tahoma"/>
          <w:b/>
          <w:color w:val="1F4E79" w:themeColor="accent1" w:themeShade="80"/>
          <w:sz w:val="22"/>
          <w:szCs w:val="22"/>
          <w:lang w:eastAsia="zh-CN"/>
        </w:rPr>
        <w:t>PISTA DE AUDITORÍA</w:t>
      </w:r>
      <w:bookmarkEnd w:id="24"/>
      <w:bookmarkEnd w:id="25"/>
    </w:p>
    <w:p w14:paraId="06FB936F" w14:textId="77777777" w:rsidR="008523EB" w:rsidRDefault="00E4765A">
      <w:pPr>
        <w:pStyle w:val="Default"/>
        <w:spacing w:before="120" w:after="120"/>
        <w:jc w:val="both"/>
        <w:rPr>
          <w:rFonts w:eastAsia="Times New Roman"/>
          <w:color w:val="auto"/>
          <w:sz w:val="22"/>
          <w:szCs w:val="22"/>
          <w:lang w:eastAsia="es-ES"/>
        </w:rPr>
      </w:pPr>
      <w:r>
        <w:rPr>
          <w:rFonts w:eastAsia="Times New Roman"/>
          <w:color w:val="auto"/>
          <w:sz w:val="22"/>
          <w:szCs w:val="22"/>
          <w:lang w:eastAsia="es-ES"/>
        </w:rPr>
        <w:t>Los documentos identificados en el apartado “</w:t>
      </w:r>
      <w:r>
        <w:rPr>
          <w:rFonts w:eastAsia="Times New Roman"/>
          <w:i/>
          <w:color w:val="auto"/>
          <w:sz w:val="22"/>
          <w:szCs w:val="22"/>
          <w:u w:val="single"/>
          <w:lang w:eastAsia="es-ES"/>
        </w:rPr>
        <w:t>pista de auditoría</w:t>
      </w:r>
      <w:r>
        <w:rPr>
          <w:rFonts w:eastAsia="Times New Roman"/>
          <w:color w:val="auto"/>
          <w:sz w:val="22"/>
          <w:szCs w:val="22"/>
          <w:lang w:eastAsia="es-ES"/>
        </w:rPr>
        <w:t xml:space="preserve">” en cada ficha técnica anexa de las categorías de gastos deberán incorporarse al sistema informático de gestión del programa (e-MAC) cuando se declaren los gastos. Su ausencia podría suponer la no elegibilidad del gasto. </w:t>
      </w:r>
    </w:p>
    <w:p w14:paraId="7C53AC8A" w14:textId="77777777" w:rsidR="008523EB" w:rsidRDefault="00E4765A">
      <w:pPr>
        <w:pStyle w:val="Default"/>
        <w:spacing w:before="120" w:after="120"/>
        <w:jc w:val="both"/>
        <w:rPr>
          <w:rFonts w:eastAsia="Times New Roman"/>
          <w:color w:val="auto"/>
          <w:sz w:val="22"/>
          <w:szCs w:val="22"/>
          <w:lang w:eastAsia="es-ES"/>
        </w:rPr>
      </w:pPr>
      <w:r>
        <w:rPr>
          <w:rFonts w:eastAsia="Times New Roman"/>
          <w:color w:val="auto"/>
          <w:sz w:val="22"/>
          <w:szCs w:val="22"/>
          <w:lang w:eastAsia="es-ES"/>
        </w:rPr>
        <w:t>Además, el beneficiario podrá incorporar toda la documentación que considere necesaria para justificar que el gasto incurrido cumple las condiciones especificadas en cada ficha técnica, según la categoría de gasto.</w:t>
      </w:r>
    </w:p>
    <w:p w14:paraId="310F1236" w14:textId="77777777" w:rsidR="008523EB" w:rsidRDefault="00E4765A">
      <w:pPr>
        <w:pStyle w:val="Default"/>
        <w:spacing w:before="120" w:after="120"/>
        <w:jc w:val="both"/>
        <w:rPr>
          <w:rFonts w:eastAsia="Times New Roman"/>
          <w:color w:val="auto"/>
          <w:sz w:val="22"/>
          <w:szCs w:val="22"/>
          <w:lang w:eastAsia="es-ES"/>
        </w:rPr>
      </w:pPr>
      <w:r>
        <w:rPr>
          <w:rFonts w:eastAsia="Times New Roman"/>
          <w:color w:val="auto"/>
          <w:sz w:val="22"/>
          <w:szCs w:val="22"/>
          <w:lang w:eastAsia="es-ES"/>
        </w:rPr>
        <w:t xml:space="preserve">Durante cualquiera de las fases de control de los gastos declarados por el beneficiario el controlador/auditor podrá solicitar documentación que no esté identificada en el </w:t>
      </w:r>
      <w:r>
        <w:rPr>
          <w:rFonts w:eastAsia="Times New Roman"/>
          <w:color w:val="auto"/>
          <w:sz w:val="22"/>
          <w:szCs w:val="22"/>
          <w:lang w:eastAsia="es-ES"/>
        </w:rPr>
        <w:lastRenderedPageBreak/>
        <w:t>apartado de pista de auditoría de las fichas técnicas si la considera necesaria para verificar el cumplimiento de los requisitos de subvencionabilidad de los mismos.</w:t>
      </w:r>
    </w:p>
    <w:p w14:paraId="2A3A60A2" w14:textId="77777777" w:rsidR="008523EB" w:rsidRDefault="00E4765A">
      <w:pPr>
        <w:pStyle w:val="Ttulo1"/>
        <w:numPr>
          <w:ilvl w:val="1"/>
          <w:numId w:val="5"/>
        </w:numPr>
        <w:spacing w:before="120" w:after="120"/>
        <w:rPr>
          <w:rFonts w:ascii="Tahoma" w:eastAsia="Arial Unicode MS" w:hAnsi="Tahoma" w:cs="Tahoma"/>
          <w:b/>
          <w:color w:val="1F4E79" w:themeColor="accent1" w:themeShade="80"/>
          <w:sz w:val="22"/>
          <w:szCs w:val="22"/>
          <w:lang w:eastAsia="zh-CN"/>
        </w:rPr>
      </w:pPr>
      <w:bookmarkStart w:id="26" w:name="_Toc188534886"/>
      <w:bookmarkStart w:id="27" w:name="_Toc188608059"/>
      <w:bookmarkStart w:id="28" w:name="_Toc188613831"/>
      <w:bookmarkStart w:id="29" w:name="_Toc190347179"/>
      <w:r>
        <w:rPr>
          <w:rFonts w:ascii="Tahoma" w:eastAsia="Arial Unicode MS" w:hAnsi="Tahoma" w:cs="Tahoma"/>
          <w:b/>
          <w:color w:val="1F4E79" w:themeColor="accent1" w:themeShade="80"/>
          <w:sz w:val="22"/>
          <w:szCs w:val="22"/>
          <w:lang w:eastAsia="zh-CN"/>
        </w:rPr>
        <w:t>JUSTIFICACIÓN DEL GASTO</w:t>
      </w:r>
      <w:bookmarkEnd w:id="26"/>
      <w:bookmarkEnd w:id="27"/>
      <w:bookmarkEnd w:id="28"/>
      <w:bookmarkEnd w:id="29"/>
    </w:p>
    <w:p w14:paraId="1C99F77A" w14:textId="77777777" w:rsidR="008523EB" w:rsidRDefault="00E4765A">
      <w:pPr>
        <w:rPr>
          <w:rFonts w:ascii="Tahoma" w:hAnsi="Tahoma" w:cs="Tahoma"/>
          <w:sz w:val="22"/>
          <w:szCs w:val="22"/>
        </w:rPr>
      </w:pPr>
      <w:r>
        <w:rPr>
          <w:rFonts w:ascii="Tahoma" w:hAnsi="Tahoma" w:cs="Tahoma"/>
          <w:sz w:val="22"/>
          <w:szCs w:val="22"/>
        </w:rPr>
        <w:t>Los justificantes de gasto (facturas) deberán contener un detalle que permita identificar claramente el objeto del gasto facturado evitando referencias genéricas y, en la medida de lo posible, constará en el cuerpo de la factura referencia al proyecto y al Programa.</w:t>
      </w:r>
    </w:p>
    <w:p w14:paraId="59B7C7E1" w14:textId="77777777" w:rsidR="008523EB" w:rsidRDefault="00E4765A">
      <w:pPr>
        <w:rPr>
          <w:rFonts w:ascii="Tahoma" w:hAnsi="Tahoma" w:cs="Tahoma"/>
          <w:sz w:val="22"/>
          <w:szCs w:val="22"/>
        </w:rPr>
      </w:pPr>
      <w:r>
        <w:rPr>
          <w:rFonts w:ascii="Tahoma" w:hAnsi="Tahoma" w:cs="Tahoma"/>
          <w:sz w:val="22"/>
          <w:szCs w:val="22"/>
        </w:rPr>
        <w:t>Además, deben cumplir los siguientes requisitos:</w:t>
      </w:r>
    </w:p>
    <w:p w14:paraId="7A7BE44B" w14:textId="77777777" w:rsidR="008523EB" w:rsidRDefault="00E4765A">
      <w:pPr>
        <w:pStyle w:val="Prrafodelista"/>
        <w:numPr>
          <w:ilvl w:val="0"/>
          <w:numId w:val="19"/>
        </w:numPr>
        <w:spacing w:before="120" w:after="120"/>
        <w:contextualSpacing w:val="0"/>
        <w:rPr>
          <w:rFonts w:ascii="Tahoma" w:hAnsi="Tahoma" w:cs="Tahoma"/>
          <w:b/>
          <w:sz w:val="22"/>
          <w:szCs w:val="22"/>
        </w:rPr>
      </w:pPr>
      <w:r>
        <w:rPr>
          <w:rFonts w:ascii="Tahoma" w:hAnsi="Tahoma" w:cs="Tahoma"/>
          <w:b/>
          <w:sz w:val="22"/>
          <w:szCs w:val="22"/>
        </w:rPr>
        <w:t>Para proveedores de bienes o prestadores de servicios con sede en España:</w:t>
      </w:r>
    </w:p>
    <w:p w14:paraId="7DF1FE1D" w14:textId="77777777" w:rsidR="008523EB" w:rsidRDefault="00E4765A">
      <w:pPr>
        <w:spacing w:before="120" w:after="120"/>
        <w:rPr>
          <w:rFonts w:ascii="Tahoma" w:hAnsi="Tahoma" w:cs="Tahoma"/>
          <w:sz w:val="22"/>
          <w:szCs w:val="22"/>
        </w:rPr>
      </w:pPr>
      <w:r>
        <w:rPr>
          <w:rFonts w:ascii="Tahoma" w:hAnsi="Tahoma" w:cs="Tahoma"/>
          <w:sz w:val="22"/>
          <w:szCs w:val="22"/>
        </w:rPr>
        <w:t>Se exige que las facturas cumplan con el Real Decreto 1619/2012, de 30 de noviembre de 2012, por el que se aprueba el Reglamento por el que se regulan las obligaciones de facturación.</w:t>
      </w:r>
    </w:p>
    <w:p w14:paraId="47AE9BE4" w14:textId="77777777" w:rsidR="008523EB" w:rsidRDefault="00E4765A">
      <w:pPr>
        <w:pStyle w:val="Prrafodelista"/>
        <w:numPr>
          <w:ilvl w:val="1"/>
          <w:numId w:val="16"/>
        </w:numPr>
        <w:spacing w:before="120" w:after="120"/>
        <w:contextualSpacing w:val="0"/>
        <w:rPr>
          <w:rFonts w:ascii="Tahoma" w:hAnsi="Tahoma" w:cs="Tahoma"/>
          <w:sz w:val="22"/>
          <w:szCs w:val="22"/>
        </w:rPr>
      </w:pPr>
      <w:r>
        <w:rPr>
          <w:rFonts w:ascii="Tahoma" w:eastAsia="Arial Unicode MS" w:hAnsi="Tahoma" w:cs="Tahoma"/>
          <w:sz w:val="22"/>
          <w:szCs w:val="22"/>
          <w:lang w:eastAsia="zh-CN"/>
        </w:rPr>
        <w:t>Toda factura y sus copias contendrán los datos o requisitos que se citan en la normativa señalada, entre otros, los siguientes (artículo 6 del Real Decreto 1619/2012):</w:t>
      </w:r>
    </w:p>
    <w:p w14:paraId="109F4F53"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 xml:space="preserve">Número y, en su caso, serie. </w:t>
      </w:r>
    </w:p>
    <w:p w14:paraId="4AB2E04B"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La fecha de su expedición.</w:t>
      </w:r>
    </w:p>
    <w:p w14:paraId="4B537F7A"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Nombre y apellidos, razón o denominación social completa, tanto del obligado a expedir factura como del destinatario de las operaciones.</w:t>
      </w:r>
    </w:p>
    <w:p w14:paraId="5D4E4A2E"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Número de Identificación Fiscal del obligado a expedir la factura y del destinatario.</w:t>
      </w:r>
    </w:p>
    <w:p w14:paraId="1F809EE7"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Domicilio, tanto del obligado a expedir factura como del destinatario.</w:t>
      </w:r>
    </w:p>
    <w:p w14:paraId="245CD5BE"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Descripción de las operaciones.</w:t>
      </w:r>
    </w:p>
    <w:p w14:paraId="18809AFD"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El tipo impositivo o tipos impositivos, en su caso, aplicados a las operaciones.</w:t>
      </w:r>
    </w:p>
    <w:p w14:paraId="18C6A1E5" w14:textId="77777777" w:rsidR="008523EB" w:rsidRDefault="00E4765A">
      <w:pPr>
        <w:pStyle w:val="Prrafodelista"/>
        <w:numPr>
          <w:ilvl w:val="3"/>
          <w:numId w:val="17"/>
        </w:numPr>
        <w:spacing w:before="120" w:after="120"/>
        <w:ind w:left="1723" w:hanging="646"/>
        <w:contextualSpacing w:val="0"/>
        <w:rPr>
          <w:rFonts w:ascii="Tahoma" w:hAnsi="Tahoma" w:cs="Tahoma"/>
          <w:sz w:val="22"/>
          <w:szCs w:val="22"/>
        </w:rPr>
      </w:pPr>
      <w:r>
        <w:rPr>
          <w:rFonts w:ascii="Tahoma" w:eastAsia="Arial Unicode MS" w:hAnsi="Tahoma" w:cs="Tahoma"/>
          <w:sz w:val="22"/>
          <w:szCs w:val="22"/>
          <w:lang w:eastAsia="zh-CN"/>
        </w:rPr>
        <w:t>La cuota tributaria que, en su caso, se repercuta, que deberá consignarse por separado, etc.</w:t>
      </w:r>
    </w:p>
    <w:p w14:paraId="173D9AB2" w14:textId="77777777" w:rsidR="008523EB" w:rsidRDefault="00E4765A">
      <w:pPr>
        <w:pStyle w:val="Prrafodelista"/>
        <w:numPr>
          <w:ilvl w:val="1"/>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Las facturas simplificadas y sus copias contendrán los datos o requisitos que se citan en la normativa señalada, entre otros, los siguientes (artículo 7 del Real Decreto 1619/2012):</w:t>
      </w:r>
    </w:p>
    <w:p w14:paraId="31646399" w14:textId="77777777" w:rsidR="008523EB" w:rsidRDefault="00E4765A">
      <w:pPr>
        <w:pStyle w:val="Prrafodelista"/>
        <w:numPr>
          <w:ilvl w:val="3"/>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 xml:space="preserve">Número y, en su caso, serie. </w:t>
      </w:r>
    </w:p>
    <w:p w14:paraId="734DC29D" w14:textId="77777777" w:rsidR="008523EB" w:rsidRDefault="00E4765A">
      <w:pPr>
        <w:pStyle w:val="Prrafodelista"/>
        <w:numPr>
          <w:ilvl w:val="3"/>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La fecha de su expedición.</w:t>
      </w:r>
    </w:p>
    <w:p w14:paraId="092FFFAB" w14:textId="77777777" w:rsidR="008523EB" w:rsidRDefault="00E4765A">
      <w:pPr>
        <w:pStyle w:val="Prrafodelista"/>
        <w:numPr>
          <w:ilvl w:val="3"/>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Número de Identificación Fiscal, así como el nombre y apellidos, razón o denominación social completa del obligado a su expedición.</w:t>
      </w:r>
    </w:p>
    <w:p w14:paraId="116FF5B3" w14:textId="77777777" w:rsidR="008523EB" w:rsidRDefault="00E4765A">
      <w:pPr>
        <w:pStyle w:val="Prrafodelista"/>
        <w:numPr>
          <w:ilvl w:val="3"/>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La identificación del tipo de bienes entregados o de servicios prestados.</w:t>
      </w:r>
    </w:p>
    <w:p w14:paraId="0F319ECF" w14:textId="77777777" w:rsidR="008523EB" w:rsidRDefault="00E4765A">
      <w:pPr>
        <w:pStyle w:val="Prrafodelista"/>
        <w:numPr>
          <w:ilvl w:val="3"/>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Tipo impositivo aplicado y, opcionalmente, también la expresión «IVA/IGIC incluido».</w:t>
      </w:r>
    </w:p>
    <w:p w14:paraId="7DA62950" w14:textId="77777777" w:rsidR="008523EB" w:rsidRDefault="00E4765A">
      <w:pPr>
        <w:pStyle w:val="Prrafodelista"/>
        <w:numPr>
          <w:ilvl w:val="3"/>
          <w:numId w:val="17"/>
        </w:numPr>
        <w:spacing w:before="120" w:after="120"/>
        <w:contextualSpacing w:val="0"/>
        <w:rPr>
          <w:rFonts w:ascii="Tahoma" w:hAnsi="Tahoma" w:cs="Tahoma"/>
          <w:sz w:val="22"/>
          <w:szCs w:val="22"/>
        </w:rPr>
      </w:pPr>
      <w:r>
        <w:rPr>
          <w:rFonts w:ascii="Tahoma" w:eastAsia="Arial Unicode MS" w:hAnsi="Tahoma" w:cs="Tahoma"/>
          <w:sz w:val="22"/>
          <w:szCs w:val="22"/>
          <w:lang w:eastAsia="zh-CN"/>
        </w:rPr>
        <w:t>Contraprestación total, etc.</w:t>
      </w:r>
    </w:p>
    <w:p w14:paraId="6A8BD227" w14:textId="77777777" w:rsidR="008523EB" w:rsidRDefault="00E4765A">
      <w:pPr>
        <w:spacing w:before="120" w:after="120"/>
        <w:rPr>
          <w:rFonts w:ascii="Tahoma" w:eastAsia="Arial Unicode MS" w:hAnsi="Tahoma" w:cs="Tahoma"/>
          <w:sz w:val="22"/>
          <w:szCs w:val="22"/>
          <w:lang w:eastAsia="zh-CN"/>
        </w:rPr>
      </w:pPr>
      <w:r>
        <w:rPr>
          <w:rFonts w:ascii="Tahoma" w:eastAsia="Arial Unicode MS" w:hAnsi="Tahoma" w:cs="Tahoma"/>
          <w:sz w:val="22"/>
          <w:szCs w:val="22"/>
          <w:lang w:eastAsia="zh-CN"/>
        </w:rPr>
        <w:lastRenderedPageBreak/>
        <w:t>Cuando el destinatario de la operación sea un empresario o profesional y así lo exija, el expedidor de la factura simplificada deberá hacer constar, además, los siguientes datos:</w:t>
      </w:r>
    </w:p>
    <w:p w14:paraId="110A182F" w14:textId="77777777" w:rsidR="008523EB" w:rsidRDefault="00E4765A">
      <w:pPr>
        <w:pStyle w:val="Prrafodelista"/>
        <w:numPr>
          <w:ilvl w:val="0"/>
          <w:numId w:val="18"/>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Número de Identificación Fiscal atribuido por la Administración tributaria española o, en su caso, por la de otro Estado miembro de la Unión Europea, así como el domicilio del destinatario de las operaciones.</w:t>
      </w:r>
    </w:p>
    <w:p w14:paraId="4B4E79C6" w14:textId="77777777" w:rsidR="008523EB" w:rsidRDefault="00E4765A">
      <w:pPr>
        <w:pStyle w:val="Prrafodelista"/>
        <w:numPr>
          <w:ilvl w:val="0"/>
          <w:numId w:val="18"/>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La cuota tributaria que, en su caso, se repercuta, que deberá consignarse por separado, etc.</w:t>
      </w:r>
    </w:p>
    <w:p w14:paraId="1CA26B56" w14:textId="77777777" w:rsidR="008523EB" w:rsidRDefault="00E4765A">
      <w:pPr>
        <w:pStyle w:val="Prrafodelista"/>
        <w:numPr>
          <w:ilvl w:val="0"/>
          <w:numId w:val="19"/>
        </w:numPr>
        <w:spacing w:before="120" w:after="120"/>
        <w:contextualSpacing w:val="0"/>
        <w:rPr>
          <w:rFonts w:ascii="Tahoma" w:eastAsia="Arial Unicode MS" w:hAnsi="Tahoma" w:cs="Tahoma"/>
          <w:b/>
          <w:sz w:val="22"/>
          <w:szCs w:val="22"/>
          <w:lang w:eastAsia="zh-CN"/>
        </w:rPr>
      </w:pPr>
      <w:r>
        <w:rPr>
          <w:rFonts w:ascii="Tahoma" w:eastAsia="Arial Unicode MS" w:hAnsi="Tahoma" w:cs="Tahoma"/>
          <w:b/>
          <w:sz w:val="22"/>
          <w:szCs w:val="22"/>
          <w:lang w:eastAsia="zh-CN"/>
        </w:rPr>
        <w:t>Para proveedores de bienes o prestadores de servicios con sede en Portugal:</w:t>
      </w:r>
    </w:p>
    <w:p w14:paraId="1DFC83E2" w14:textId="77777777" w:rsidR="008523EB" w:rsidRDefault="00E4765A">
      <w:pPr>
        <w:spacing w:before="120" w:after="120"/>
        <w:rPr>
          <w:rFonts w:ascii="Tahoma" w:eastAsia="Arial Unicode MS" w:hAnsi="Tahoma" w:cs="Tahoma"/>
          <w:sz w:val="22"/>
          <w:szCs w:val="22"/>
          <w:lang w:eastAsia="zh-CN"/>
        </w:rPr>
      </w:pPr>
      <w:r>
        <w:rPr>
          <w:rFonts w:ascii="Tahoma" w:eastAsia="Arial Unicode MS" w:hAnsi="Tahoma" w:cs="Tahoma"/>
          <w:sz w:val="22"/>
          <w:szCs w:val="22"/>
          <w:lang w:eastAsia="zh-CN"/>
        </w:rPr>
        <w:t>En todos los casos, independientemente del bien o servicio prestado, sólo podrán aceptarse los documentos comprobantes de gasto presentados por los beneficiarios y emitidos por proveedores o prestadores de servicios con sede en Portugal, cuando contengan al menos los siguientes datos, en cumplimiento con lo estipulado en los artículos 36º e 40º del Código do Imposto sobre o Valor Acrescentado (CIVA) en vigor.</w:t>
      </w:r>
    </w:p>
    <w:p w14:paraId="7B5C2D12" w14:textId="77777777" w:rsidR="008523EB" w:rsidRDefault="00E4765A">
      <w:pPr>
        <w:pStyle w:val="Prrafodelista"/>
        <w:numPr>
          <w:ilvl w:val="1"/>
          <w:numId w:val="19"/>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Facturación normal (Artigo 36º CIVA):</w:t>
      </w:r>
    </w:p>
    <w:p w14:paraId="1A39FFAE" w14:textId="77777777" w:rsidR="008523EB" w:rsidRDefault="00E4765A">
      <w:pPr>
        <w:pStyle w:val="Prrafodelista"/>
        <w:numPr>
          <w:ilvl w:val="0"/>
          <w:numId w:val="21"/>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 xml:space="preserve">Fecha y número; </w:t>
      </w:r>
    </w:p>
    <w:p w14:paraId="3E127EAB" w14:textId="77777777" w:rsidR="008523EB" w:rsidRDefault="00E4765A">
      <w:pPr>
        <w:pStyle w:val="Prrafodelista"/>
        <w:numPr>
          <w:ilvl w:val="0"/>
          <w:numId w:val="21"/>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Nombre, firma o denominación social y sede o domicilio del proveedor o prestador y del destinatario o adquiriente sujeto pasivo del imposto, así como los correspondientes NIF;</w:t>
      </w:r>
    </w:p>
    <w:p w14:paraId="66923265" w14:textId="77777777" w:rsidR="008523EB" w:rsidRDefault="00E4765A">
      <w:pPr>
        <w:pStyle w:val="Prrafodelista"/>
        <w:numPr>
          <w:ilvl w:val="0"/>
          <w:numId w:val="21"/>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La cantidad y la denominación usual de los bienes transmitidos o de los servicios prestados;</w:t>
      </w:r>
    </w:p>
    <w:p w14:paraId="11A44973" w14:textId="77777777" w:rsidR="008523EB" w:rsidRDefault="00E4765A">
      <w:pPr>
        <w:pStyle w:val="Prrafodelista"/>
        <w:numPr>
          <w:ilvl w:val="0"/>
          <w:numId w:val="21"/>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El precio líquido, los otros elementos incluidos en el valor tributable y las respectivas tasas cuando sean aplicables;</w:t>
      </w:r>
    </w:p>
    <w:p w14:paraId="66A284CF" w14:textId="77777777" w:rsidR="008523EB" w:rsidRDefault="00E4765A">
      <w:pPr>
        <w:pStyle w:val="Prrafodelista"/>
        <w:numPr>
          <w:ilvl w:val="0"/>
          <w:numId w:val="21"/>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Los tipos aplicables y la cuantía del impuesto devengado (q.a.)</w:t>
      </w:r>
    </w:p>
    <w:p w14:paraId="03CDF6B5" w14:textId="77777777" w:rsidR="008523EB" w:rsidRDefault="00E4765A">
      <w:pPr>
        <w:pStyle w:val="Prrafodelista"/>
        <w:numPr>
          <w:ilvl w:val="1"/>
          <w:numId w:val="19"/>
        </w:numPr>
        <w:spacing w:before="120" w:after="120"/>
        <w:contextualSpacing w:val="0"/>
        <w:rPr>
          <w:rFonts w:ascii="Tahoma" w:eastAsia="Arial Unicode MS" w:hAnsi="Tahoma" w:cs="Tahoma"/>
          <w:b/>
          <w:sz w:val="22"/>
          <w:szCs w:val="22"/>
          <w:lang w:eastAsia="zh-CN"/>
        </w:rPr>
      </w:pPr>
      <w:r>
        <w:rPr>
          <w:rFonts w:ascii="Tahoma" w:eastAsia="Arial Unicode MS" w:hAnsi="Tahoma" w:cs="Tahoma"/>
          <w:sz w:val="22"/>
          <w:szCs w:val="22"/>
          <w:lang w:eastAsia="zh-CN"/>
        </w:rPr>
        <w:t xml:space="preserve"> Facturación simplificada (Artigo 40º CIVA):</w:t>
      </w:r>
    </w:p>
    <w:p w14:paraId="0F7E3AC0" w14:textId="77777777" w:rsidR="008523EB" w:rsidRDefault="008523EB">
      <w:pPr>
        <w:pStyle w:val="Prrafodelista"/>
        <w:numPr>
          <w:ilvl w:val="0"/>
          <w:numId w:val="20"/>
        </w:numPr>
        <w:spacing w:before="120" w:after="120"/>
        <w:contextualSpacing w:val="0"/>
        <w:rPr>
          <w:rFonts w:ascii="Tahoma" w:eastAsia="Arial Unicode MS" w:hAnsi="Tahoma" w:cs="Tahoma"/>
          <w:vanish/>
          <w:sz w:val="22"/>
          <w:szCs w:val="22"/>
          <w:lang w:eastAsia="zh-CN"/>
        </w:rPr>
      </w:pPr>
    </w:p>
    <w:p w14:paraId="78A085AE" w14:textId="77777777" w:rsidR="008523EB" w:rsidRDefault="00E4765A">
      <w:pPr>
        <w:pStyle w:val="Prrafodelista"/>
        <w:numPr>
          <w:ilvl w:val="2"/>
          <w:numId w:val="19"/>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En el ámbito de la emisión de factura simplificada en transmisiones de bienes y prestaciones de servicios cuyo impuesto sea aplicable en territorio nacional y en que el montante de la factura no sea superior a (euro) 100, la factura debe contener los siguientes datos:</w:t>
      </w:r>
    </w:p>
    <w:p w14:paraId="41354B50" w14:textId="77777777" w:rsidR="008523EB" w:rsidRDefault="00E4765A">
      <w:pPr>
        <w:pStyle w:val="Prrafodelista"/>
        <w:numPr>
          <w:ilvl w:val="0"/>
          <w:numId w:val="22"/>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 xml:space="preserve">Fecha y número; </w:t>
      </w:r>
    </w:p>
    <w:p w14:paraId="34971381" w14:textId="77777777" w:rsidR="008523EB" w:rsidRDefault="00E4765A">
      <w:pPr>
        <w:pStyle w:val="Prrafodelista"/>
        <w:numPr>
          <w:ilvl w:val="0"/>
          <w:numId w:val="22"/>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Nombre o denominación social y NIF del proveedor de los bienes o prestador de los servicios;</w:t>
      </w:r>
    </w:p>
    <w:p w14:paraId="22D414BB" w14:textId="77777777" w:rsidR="008523EB" w:rsidRDefault="00E4765A">
      <w:pPr>
        <w:pStyle w:val="Prrafodelista"/>
        <w:numPr>
          <w:ilvl w:val="0"/>
          <w:numId w:val="22"/>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NIF del adquiriente o destinatario, cuando fuera sujeto pasivo;</w:t>
      </w:r>
    </w:p>
    <w:p w14:paraId="3D2C0DBF" w14:textId="77777777" w:rsidR="008523EB" w:rsidRDefault="00E4765A">
      <w:pPr>
        <w:pStyle w:val="Prrafodelista"/>
        <w:numPr>
          <w:ilvl w:val="0"/>
          <w:numId w:val="22"/>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La cantidad y denominación usual de los bienes transmitidos o de los servicios prestados;</w:t>
      </w:r>
    </w:p>
    <w:p w14:paraId="5E181A9F" w14:textId="77777777" w:rsidR="008523EB" w:rsidRDefault="00E4765A">
      <w:pPr>
        <w:pStyle w:val="Prrafodelista"/>
        <w:numPr>
          <w:ilvl w:val="0"/>
          <w:numId w:val="22"/>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El precio líquido, las tasas aplicables y el montante de impuesto debido, o el precio con la inclusión del impuesto y la tasa o tasas aplicables;</w:t>
      </w:r>
    </w:p>
    <w:p w14:paraId="5DC2357A" w14:textId="77777777" w:rsidR="008523EB" w:rsidRDefault="00E4765A">
      <w:pPr>
        <w:pStyle w:val="Prrafodelista"/>
        <w:numPr>
          <w:ilvl w:val="2"/>
          <w:numId w:val="19"/>
        </w:numPr>
        <w:spacing w:before="120" w:after="120"/>
        <w:contextualSpacing w:val="0"/>
        <w:rPr>
          <w:rFonts w:ascii="Tahoma" w:eastAsia="Arial Unicode MS" w:hAnsi="Tahoma" w:cs="Tahoma"/>
          <w:sz w:val="22"/>
          <w:szCs w:val="22"/>
          <w:lang w:eastAsia="zh-CN"/>
        </w:rPr>
      </w:pPr>
      <w:r>
        <w:rPr>
          <w:rFonts w:ascii="Tahoma" w:eastAsia="Arial Unicode MS" w:hAnsi="Tahoma" w:cs="Tahoma"/>
          <w:sz w:val="22"/>
          <w:szCs w:val="22"/>
          <w:lang w:eastAsia="zh-CN"/>
        </w:rPr>
        <w:t xml:space="preserve">Podrán también ser aceptados documentos comprobantes de gasto que no contengan todos los datos establecidos en el artículo 40º del CIVA, siempre que permitan a los Controladores Regionales comprobar la elegibilidad de los gastos y que estén debidamente justificados: billetes de </w:t>
      </w:r>
      <w:r>
        <w:rPr>
          <w:rFonts w:ascii="Tahoma" w:eastAsia="Arial Unicode MS" w:hAnsi="Tahoma" w:cs="Tahoma"/>
          <w:sz w:val="22"/>
          <w:szCs w:val="22"/>
          <w:lang w:eastAsia="zh-CN"/>
        </w:rPr>
        <w:lastRenderedPageBreak/>
        <w:t>transporte, de ingreso, o documento comprobante del pago, en el caso de prestaciones de servicios de transporte, de estacionamiento, peajes, bibliotecas, archivos, museos, parques, perímetros forestales, jardines botánicos, entre otros.</w:t>
      </w:r>
    </w:p>
    <w:p w14:paraId="7E8A82DA" w14:textId="77777777" w:rsidR="008523EB" w:rsidRDefault="00E4765A">
      <w:pPr>
        <w:pStyle w:val="Prrafodelista"/>
        <w:numPr>
          <w:ilvl w:val="0"/>
          <w:numId w:val="19"/>
        </w:numPr>
        <w:spacing w:before="240" w:after="120"/>
        <w:ind w:left="357" w:hanging="357"/>
        <w:contextualSpacing w:val="0"/>
        <w:rPr>
          <w:rFonts w:ascii="Tahoma" w:eastAsia="Arial Unicode MS" w:hAnsi="Tahoma" w:cs="Tahoma"/>
          <w:b/>
          <w:sz w:val="22"/>
          <w:szCs w:val="22"/>
          <w:lang w:eastAsia="zh-CN"/>
        </w:rPr>
      </w:pPr>
      <w:r>
        <w:rPr>
          <w:rFonts w:ascii="Tahoma" w:eastAsia="Arial Unicode MS" w:hAnsi="Tahoma" w:cs="Tahoma"/>
          <w:b/>
          <w:sz w:val="22"/>
          <w:szCs w:val="22"/>
          <w:lang w:eastAsia="zh-CN"/>
        </w:rPr>
        <w:t>Para prestadores de bienes o servicios con sede en Países Terceros:</w:t>
      </w:r>
    </w:p>
    <w:p w14:paraId="22CAD6DD" w14:textId="77777777" w:rsidR="008523EB" w:rsidRDefault="00E4765A">
      <w:pPr>
        <w:spacing w:before="120" w:after="120"/>
        <w:rPr>
          <w:rFonts w:ascii="Tahoma" w:eastAsia="Arial Unicode MS" w:hAnsi="Tahoma" w:cs="Tahoma"/>
          <w:sz w:val="22"/>
          <w:szCs w:val="22"/>
          <w:lang w:eastAsia="zh-CN"/>
        </w:rPr>
      </w:pPr>
      <w:r>
        <w:rPr>
          <w:rFonts w:ascii="Tahoma" w:eastAsia="Arial Unicode MS" w:hAnsi="Tahoma" w:cs="Tahoma"/>
          <w:sz w:val="22"/>
          <w:szCs w:val="22"/>
          <w:lang w:eastAsia="zh-CN"/>
        </w:rPr>
        <w:t xml:space="preserve">Podrán ser aceptados documentos comprobantes de gasto emitidos por prestadores con sede en los Terceros Países, aunque no contengan todos los datos establecidos en los artículos 36º y 40.º del CIVA y en los artículos 6.º y 7.º del Real Decreto 1619/2012, siempre que los datos que consten en los mismos permitan verificar la elegibilidad de los gastos. </w:t>
      </w:r>
    </w:p>
    <w:p w14:paraId="5AA1A4E4" w14:textId="77777777" w:rsidR="008523EB" w:rsidRDefault="008523EB">
      <w:pPr>
        <w:spacing w:before="120" w:after="120"/>
        <w:rPr>
          <w:rFonts w:ascii="Tahoma" w:eastAsia="Arial Unicode MS" w:hAnsi="Tahoma" w:cs="Tahoma"/>
          <w:sz w:val="22"/>
          <w:szCs w:val="22"/>
          <w:lang w:eastAsia="zh-CN"/>
        </w:rPr>
      </w:pPr>
    </w:p>
    <w:p w14:paraId="063F990C" w14:textId="77777777" w:rsidR="008523EB" w:rsidRDefault="00E4765A">
      <w:pPr>
        <w:pStyle w:val="Prrafodelista"/>
        <w:numPr>
          <w:ilvl w:val="0"/>
          <w:numId w:val="19"/>
        </w:numPr>
        <w:spacing w:before="120" w:after="120"/>
        <w:contextualSpacing w:val="0"/>
        <w:rPr>
          <w:rFonts w:ascii="Tahoma" w:eastAsia="Arial Unicode MS" w:hAnsi="Tahoma" w:cs="Tahoma"/>
          <w:b/>
          <w:sz w:val="22"/>
          <w:szCs w:val="22"/>
          <w:lang w:eastAsia="zh-CN"/>
        </w:rPr>
      </w:pPr>
      <w:r>
        <w:rPr>
          <w:rFonts w:ascii="Tahoma" w:eastAsia="Arial Unicode MS" w:hAnsi="Tahoma" w:cs="Tahoma"/>
          <w:b/>
          <w:sz w:val="22"/>
          <w:szCs w:val="22"/>
          <w:lang w:eastAsia="zh-CN"/>
        </w:rPr>
        <w:t>Otras consideraciones:</w:t>
      </w:r>
    </w:p>
    <w:p w14:paraId="50DF0925" w14:textId="77777777" w:rsidR="008523EB" w:rsidRDefault="00E4765A">
      <w:pPr>
        <w:pStyle w:val="Prrafodelista"/>
        <w:numPr>
          <w:ilvl w:val="1"/>
          <w:numId w:val="19"/>
        </w:numPr>
        <w:spacing w:before="120" w:after="120"/>
        <w:contextualSpacing w:val="0"/>
        <w:rPr>
          <w:rFonts w:ascii="Tahoma" w:eastAsia="Arial Unicode MS" w:hAnsi="Tahoma" w:cs="Tahoma"/>
          <w:b/>
          <w:sz w:val="22"/>
          <w:szCs w:val="22"/>
          <w:lang w:eastAsia="zh-CN"/>
        </w:rPr>
      </w:pPr>
      <w:r>
        <w:rPr>
          <w:rFonts w:ascii="Tahoma" w:eastAsia="Arial Unicode MS" w:hAnsi="Tahoma" w:cs="Tahoma"/>
          <w:sz w:val="22"/>
          <w:szCs w:val="22"/>
          <w:lang w:eastAsia="zh-CN"/>
        </w:rPr>
        <w:t xml:space="preserve">El NIF del destinatario/adquiriente del bien o servicio que debe constar en el documento comprobante del gasto es el NIF de la entidad beneficiaria/socia. </w:t>
      </w:r>
    </w:p>
    <w:p w14:paraId="176EBB97" w14:textId="77777777" w:rsidR="008523EB" w:rsidRDefault="00E4765A">
      <w:pPr>
        <w:pStyle w:val="Prrafodelista"/>
        <w:numPr>
          <w:ilvl w:val="1"/>
          <w:numId w:val="19"/>
        </w:numPr>
        <w:spacing w:before="120" w:after="120"/>
        <w:contextualSpacing w:val="0"/>
        <w:rPr>
          <w:rFonts w:ascii="Tahoma" w:eastAsia="Arial Unicode MS" w:hAnsi="Tahoma" w:cs="Tahoma"/>
          <w:b/>
          <w:sz w:val="22"/>
          <w:szCs w:val="22"/>
          <w:lang w:eastAsia="zh-CN"/>
        </w:rPr>
      </w:pPr>
      <w:r>
        <w:rPr>
          <w:rFonts w:ascii="Tahoma" w:eastAsia="Arial Unicode MS" w:hAnsi="Tahoma" w:cs="Tahoma"/>
          <w:sz w:val="22"/>
          <w:szCs w:val="22"/>
          <w:lang w:eastAsia="zh-CN"/>
        </w:rPr>
        <w:t>Excepcionalmente, en los casos en que el NIF que consta en la factura es el NIF del empleado, la entidad beneficiaria/socia deberá demostrar documentalmente todo el circuito financiero (pista de auditoría), incluyendo el pago del empleado al proveedor, cuando sea aplicable, y el reembolso de la entidad beneficiaria/socia al empleado.</w:t>
      </w:r>
    </w:p>
    <w:p w14:paraId="0E1F5FF5" w14:textId="77777777" w:rsidR="008523EB" w:rsidRDefault="00E4765A">
      <w:pPr>
        <w:pStyle w:val="Ttulo1"/>
        <w:numPr>
          <w:ilvl w:val="1"/>
          <w:numId w:val="5"/>
        </w:numPr>
        <w:spacing w:before="120" w:after="120"/>
        <w:rPr>
          <w:rFonts w:ascii="Tahoma" w:eastAsia="Arial Unicode MS" w:hAnsi="Tahoma" w:cs="Tahoma"/>
          <w:b/>
          <w:color w:val="1F4E79" w:themeColor="accent1" w:themeShade="80"/>
          <w:sz w:val="22"/>
          <w:szCs w:val="22"/>
          <w:lang w:eastAsia="zh-CN"/>
        </w:rPr>
      </w:pPr>
      <w:bookmarkStart w:id="30" w:name="_Toc188613832"/>
      <w:bookmarkStart w:id="31" w:name="_Toc190347180"/>
      <w:r>
        <w:rPr>
          <w:rFonts w:ascii="Tahoma" w:eastAsia="Arial Unicode MS" w:hAnsi="Tahoma" w:cs="Tahoma"/>
          <w:b/>
          <w:color w:val="1F4E79" w:themeColor="accent1" w:themeShade="80"/>
          <w:sz w:val="22"/>
          <w:szCs w:val="22"/>
          <w:lang w:eastAsia="zh-CN"/>
        </w:rPr>
        <w:t>JUSTIFICACIÓN DEL PAGO</w:t>
      </w:r>
      <w:bookmarkEnd w:id="30"/>
      <w:bookmarkEnd w:id="31"/>
    </w:p>
    <w:p w14:paraId="64B0F425" w14:textId="77777777" w:rsidR="008523EB" w:rsidRDefault="00E4765A">
      <w:pPr>
        <w:pStyle w:val="Default"/>
        <w:spacing w:before="120" w:after="120"/>
        <w:jc w:val="both"/>
        <w:rPr>
          <w:color w:val="000000" w:themeColor="text1"/>
          <w:sz w:val="22"/>
          <w:szCs w:val="22"/>
        </w:rPr>
      </w:pPr>
      <w:r>
        <w:rPr>
          <w:color w:val="000000" w:themeColor="text1"/>
          <w:sz w:val="22"/>
          <w:szCs w:val="22"/>
        </w:rPr>
        <w:t xml:space="preserve">Para que un gasto sea elegible debe ser realizado y efectivamente pagado por los beneficiarios dentro de las fechas de elegibilidad de cada convocatoria. </w:t>
      </w:r>
    </w:p>
    <w:p w14:paraId="73932DD8" w14:textId="77777777" w:rsidR="008523EB" w:rsidRDefault="00E4765A">
      <w:pPr>
        <w:pStyle w:val="Default"/>
        <w:spacing w:before="120" w:after="120"/>
        <w:jc w:val="both"/>
        <w:rPr>
          <w:color w:val="000000" w:themeColor="text1"/>
          <w:sz w:val="22"/>
          <w:szCs w:val="22"/>
        </w:rPr>
      </w:pPr>
      <w:r>
        <w:rPr>
          <w:color w:val="000000" w:themeColor="text1"/>
          <w:sz w:val="22"/>
          <w:szCs w:val="22"/>
        </w:rPr>
        <w:t>La fecha de elegibilidad es determinada por la fecha de pago y será comprobado por el correspondiente movimiento bancario dentro de las fechas de elegibilidad del proyecto.</w:t>
      </w:r>
    </w:p>
    <w:p w14:paraId="7052A1B7" w14:textId="77777777" w:rsidR="008523EB" w:rsidRDefault="00E4765A">
      <w:pPr>
        <w:pStyle w:val="Default"/>
        <w:spacing w:before="120" w:after="120"/>
        <w:jc w:val="both"/>
        <w:rPr>
          <w:color w:val="000000" w:themeColor="text1"/>
          <w:sz w:val="22"/>
          <w:szCs w:val="22"/>
        </w:rPr>
      </w:pPr>
      <w:r>
        <w:rPr>
          <w:color w:val="000000" w:themeColor="text1"/>
          <w:sz w:val="22"/>
          <w:szCs w:val="22"/>
        </w:rPr>
        <w:t>Por tanto, como criterio general:</w:t>
      </w:r>
    </w:p>
    <w:p w14:paraId="2D12D933" w14:textId="77777777" w:rsidR="008523EB" w:rsidRDefault="00E4765A">
      <w:pPr>
        <w:pStyle w:val="Default"/>
        <w:numPr>
          <w:ilvl w:val="0"/>
          <w:numId w:val="24"/>
        </w:numPr>
        <w:spacing w:before="120" w:after="120"/>
        <w:jc w:val="both"/>
        <w:rPr>
          <w:color w:val="000000" w:themeColor="text1"/>
          <w:sz w:val="22"/>
          <w:szCs w:val="22"/>
        </w:rPr>
      </w:pPr>
      <w:r>
        <w:rPr>
          <w:color w:val="000000" w:themeColor="text1"/>
          <w:sz w:val="22"/>
          <w:szCs w:val="22"/>
        </w:rPr>
        <w:t xml:space="preserve">se deberá adjuntar el </w:t>
      </w:r>
      <w:r>
        <w:rPr>
          <w:b/>
          <w:color w:val="000000" w:themeColor="text1"/>
          <w:sz w:val="22"/>
          <w:szCs w:val="22"/>
          <w:u w:val="single"/>
        </w:rPr>
        <w:t>justificante bancario</w:t>
      </w:r>
      <w:r>
        <w:rPr>
          <w:color w:val="000000" w:themeColor="text1"/>
          <w:sz w:val="22"/>
          <w:szCs w:val="22"/>
        </w:rPr>
        <w:t xml:space="preserve"> que permita verificar el pago efectivo;</w:t>
      </w:r>
    </w:p>
    <w:p w14:paraId="47234CC6" w14:textId="77777777" w:rsidR="008523EB" w:rsidRDefault="00E4765A">
      <w:pPr>
        <w:pStyle w:val="Default"/>
        <w:numPr>
          <w:ilvl w:val="0"/>
          <w:numId w:val="24"/>
        </w:numPr>
        <w:spacing w:before="120" w:after="120"/>
        <w:jc w:val="both"/>
        <w:rPr>
          <w:color w:val="000000" w:themeColor="text1"/>
          <w:sz w:val="22"/>
          <w:szCs w:val="22"/>
        </w:rPr>
      </w:pPr>
      <w:r>
        <w:rPr>
          <w:color w:val="000000" w:themeColor="text1"/>
          <w:sz w:val="22"/>
          <w:szCs w:val="22"/>
        </w:rPr>
        <w:t xml:space="preserve">la fecha de referencia </w:t>
      </w:r>
      <w:r>
        <w:rPr>
          <w:b/>
          <w:color w:val="000000" w:themeColor="text1"/>
          <w:sz w:val="22"/>
          <w:szCs w:val="22"/>
          <w:u w:val="single"/>
        </w:rPr>
        <w:t>es la fecha valor;</w:t>
      </w:r>
    </w:p>
    <w:p w14:paraId="30451A34" w14:textId="45DA4C09" w:rsidR="008523EB" w:rsidRDefault="00E4765A">
      <w:pPr>
        <w:pStyle w:val="Default"/>
        <w:numPr>
          <w:ilvl w:val="0"/>
          <w:numId w:val="24"/>
        </w:numPr>
        <w:spacing w:before="120" w:after="120"/>
        <w:jc w:val="both"/>
        <w:rPr>
          <w:color w:val="000000" w:themeColor="text1"/>
          <w:sz w:val="22"/>
          <w:szCs w:val="22"/>
        </w:rPr>
      </w:pPr>
      <w:r>
        <w:rPr>
          <w:color w:val="000000" w:themeColor="text1"/>
          <w:sz w:val="22"/>
          <w:szCs w:val="22"/>
        </w:rPr>
        <w:t xml:space="preserve">el </w:t>
      </w:r>
      <w:r>
        <w:rPr>
          <w:b/>
          <w:color w:val="000000" w:themeColor="text1"/>
          <w:sz w:val="22"/>
          <w:szCs w:val="22"/>
          <w:u w:val="single"/>
        </w:rPr>
        <w:t>pago deberá estar clarameentificado</w:t>
      </w:r>
      <w:r>
        <w:rPr>
          <w:color w:val="000000" w:themeColor="text1"/>
          <w:sz w:val="22"/>
          <w:szCs w:val="22"/>
        </w:rPr>
        <w:t xml:space="preserve"> si se incluye dentro de una remesa de pagos.</w:t>
      </w:r>
    </w:p>
    <w:p w14:paraId="660B014C" w14:textId="77777777" w:rsidR="008523EB" w:rsidRDefault="00E4765A">
      <w:pPr>
        <w:pStyle w:val="Default"/>
        <w:spacing w:before="120" w:after="120"/>
        <w:jc w:val="both"/>
        <w:rPr>
          <w:b/>
          <w:color w:val="000000" w:themeColor="text1"/>
          <w:sz w:val="22"/>
          <w:szCs w:val="22"/>
          <w:u w:val="single"/>
        </w:rPr>
      </w:pPr>
      <w:r>
        <w:rPr>
          <w:b/>
          <w:color w:val="000000" w:themeColor="text1"/>
          <w:sz w:val="22"/>
          <w:szCs w:val="22"/>
          <w:u w:val="single"/>
        </w:rPr>
        <w:t>1. Para beneficiarios canarios:</w:t>
      </w:r>
    </w:p>
    <w:p w14:paraId="4F3DBA98" w14:textId="77777777" w:rsidR="008523EB" w:rsidRDefault="00E4765A">
      <w:pPr>
        <w:pStyle w:val="Default"/>
        <w:spacing w:before="120" w:after="120"/>
        <w:jc w:val="both"/>
        <w:rPr>
          <w:color w:val="000000" w:themeColor="text1"/>
          <w:sz w:val="22"/>
          <w:szCs w:val="22"/>
        </w:rPr>
      </w:pPr>
      <w:r>
        <w:rPr>
          <w:color w:val="000000" w:themeColor="text1"/>
          <w:sz w:val="22"/>
          <w:szCs w:val="22"/>
        </w:rPr>
        <w:t>Se consideran admisibles como justificantes de pago los efectuados los efectuados por medio de transferencia bancaria, cheque, letras de cambio, talón, efectivo o tarjeta bancaria debiendo presentar en cada caso los documentos siguientes:</w:t>
      </w:r>
    </w:p>
    <w:p w14:paraId="0E2C27F9" w14:textId="324D70CE" w:rsidR="008523EB" w:rsidRPr="00530EAA" w:rsidRDefault="00E4765A" w:rsidP="00530EAA">
      <w:pPr>
        <w:pStyle w:val="Default"/>
        <w:numPr>
          <w:ilvl w:val="0"/>
          <w:numId w:val="25"/>
        </w:numPr>
        <w:spacing w:before="120" w:after="120"/>
        <w:jc w:val="both"/>
        <w:rPr>
          <w:strike/>
        </w:rPr>
      </w:pPr>
      <w:r w:rsidRPr="00530EAA">
        <w:rPr>
          <w:rFonts w:eastAsiaTheme="minorHAnsi"/>
          <w:color w:val="000000" w:themeColor="text1"/>
          <w:sz w:val="22"/>
          <w:szCs w:val="22"/>
          <w:u w:val="single"/>
        </w:rPr>
        <w:t>Transferencia bancaria</w:t>
      </w:r>
      <w:r w:rsidRPr="00530EAA">
        <w:rPr>
          <w:rFonts w:eastAsiaTheme="minorHAnsi"/>
          <w:color w:val="000000" w:themeColor="text1"/>
          <w:sz w:val="22"/>
          <w:szCs w:val="22"/>
        </w:rPr>
        <w:t>:</w:t>
      </w:r>
      <w:r>
        <w:rPr>
          <w:rFonts w:eastAsiaTheme="minorHAnsi"/>
          <w:strike/>
          <w:color w:val="000000" w:themeColor="text1"/>
          <w:sz w:val="22"/>
          <w:szCs w:val="22"/>
        </w:rPr>
        <w:t xml:space="preserve"> </w:t>
      </w:r>
      <w:r w:rsidRPr="00CA010D">
        <w:rPr>
          <w:rFonts w:eastAsiaTheme="minorHAnsi"/>
          <w:strike/>
          <w:color w:val="000000" w:themeColor="text1"/>
          <w:sz w:val="22"/>
          <w:szCs w:val="22"/>
          <w:highlight w:val="green"/>
        </w:rPr>
        <w:t>copia escaneada del impreso de abono por transferencia</w:t>
      </w:r>
      <w:r w:rsidR="00530EAA" w:rsidRPr="00CA010D">
        <w:rPr>
          <w:rFonts w:eastAsiaTheme="minorHAnsi"/>
          <w:strike/>
          <w:color w:val="000000" w:themeColor="text1"/>
          <w:sz w:val="22"/>
          <w:szCs w:val="22"/>
          <w:highlight w:val="green"/>
        </w:rPr>
        <w:t xml:space="preserve"> </w:t>
      </w:r>
      <w:r w:rsidRPr="00CA010D">
        <w:rPr>
          <w:rFonts w:eastAsiaTheme="minorHAnsi" w:hint="cs"/>
          <w:sz w:val="22"/>
          <w:szCs w:val="22"/>
          <w:highlight w:val="green"/>
          <w:shd w:val="clear" w:color="auto" w:fill="81D41A"/>
        </w:rPr>
        <w:t xml:space="preserve">extracto </w:t>
      </w:r>
      <w:r w:rsidRPr="00E4765A">
        <w:rPr>
          <w:rFonts w:eastAsiaTheme="minorHAnsi" w:hint="cs"/>
          <w:sz w:val="22"/>
          <w:szCs w:val="22"/>
          <w:highlight w:val="green"/>
          <w:shd w:val="clear" w:color="auto" w:fill="81D41A"/>
        </w:rPr>
        <w:t>bancario acreditativo del pago</w:t>
      </w:r>
      <w:r w:rsidR="00CA010D">
        <w:rPr>
          <w:rFonts w:eastAsiaTheme="minorHAnsi"/>
          <w:sz w:val="22"/>
          <w:szCs w:val="22"/>
          <w:highlight w:val="green"/>
          <w:shd w:val="clear" w:color="auto" w:fill="81D41A"/>
        </w:rPr>
        <w:t>.</w:t>
      </w:r>
    </w:p>
    <w:p w14:paraId="4F062B43" w14:textId="676EC7DC" w:rsidR="008523EB" w:rsidRDefault="00E4765A">
      <w:pPr>
        <w:pStyle w:val="Default"/>
        <w:numPr>
          <w:ilvl w:val="0"/>
          <w:numId w:val="25"/>
        </w:numPr>
        <w:spacing w:before="120" w:after="120"/>
        <w:ind w:left="709" w:hanging="349"/>
        <w:jc w:val="both"/>
        <w:rPr>
          <w:rFonts w:eastAsiaTheme="minorHAnsi"/>
          <w:color w:val="000000" w:themeColor="text1"/>
          <w:sz w:val="22"/>
          <w:szCs w:val="22"/>
        </w:rPr>
      </w:pPr>
      <w:r>
        <w:rPr>
          <w:color w:val="000000" w:themeColor="text1"/>
          <w:sz w:val="22"/>
          <w:szCs w:val="22"/>
          <w:u w:val="single"/>
        </w:rPr>
        <w:t>Cheques, letras de cambio u otros efectos cambiarios:</w:t>
      </w:r>
      <w:r>
        <w:rPr>
          <w:color w:val="000000" w:themeColor="text1"/>
          <w:sz w:val="22"/>
          <w:szCs w:val="22"/>
        </w:rPr>
        <w:t xml:space="preserve"> </w:t>
      </w:r>
      <w:r w:rsidRPr="00CA010D">
        <w:rPr>
          <w:rFonts w:eastAsiaTheme="minorHAnsi"/>
          <w:color w:val="auto"/>
          <w:sz w:val="22"/>
          <w:szCs w:val="22"/>
        </w:rPr>
        <w:t>copia del</w:t>
      </w:r>
      <w:r w:rsidRPr="008C5ADA">
        <w:rPr>
          <w:rFonts w:eastAsiaTheme="minorHAnsi"/>
          <w:color w:val="FF0000"/>
          <w:sz w:val="22"/>
          <w:szCs w:val="22"/>
        </w:rPr>
        <w:t xml:space="preserve"> </w:t>
      </w:r>
      <w:r>
        <w:rPr>
          <w:rFonts w:eastAsiaTheme="minorHAnsi"/>
          <w:color w:val="000000" w:themeColor="text1"/>
          <w:sz w:val="22"/>
          <w:szCs w:val="22"/>
        </w:rPr>
        <w:t xml:space="preserve">cheque, pagaré o talón expedido a nombre de la entidad emisora de la factura(s) y </w:t>
      </w:r>
      <w:r w:rsidRPr="00CA010D">
        <w:rPr>
          <w:rFonts w:eastAsiaTheme="minorHAnsi"/>
          <w:color w:val="auto"/>
          <w:sz w:val="22"/>
          <w:szCs w:val="22"/>
        </w:rPr>
        <w:t>copia escaneada del</w:t>
      </w:r>
      <w:r>
        <w:rPr>
          <w:rFonts w:eastAsiaTheme="minorHAnsi"/>
          <w:color w:val="000000" w:themeColor="text1"/>
          <w:sz w:val="22"/>
          <w:szCs w:val="22"/>
        </w:rPr>
        <w:t xml:space="preserve"> extracto bancario acreditativo </w:t>
      </w:r>
      <w:r w:rsidRPr="001D000F">
        <w:rPr>
          <w:rFonts w:eastAsiaTheme="minorHAnsi"/>
          <w:color w:val="000000" w:themeColor="text1"/>
          <w:sz w:val="22"/>
          <w:szCs w:val="22"/>
        </w:rPr>
        <w:t>del</w:t>
      </w:r>
      <w:r>
        <w:rPr>
          <w:rFonts w:eastAsiaTheme="minorHAnsi"/>
          <w:color w:val="000000" w:themeColor="text1"/>
          <w:sz w:val="22"/>
          <w:szCs w:val="22"/>
        </w:rPr>
        <w:t xml:space="preserve"> pago donde se refleje el número del documento. </w:t>
      </w:r>
    </w:p>
    <w:p w14:paraId="3AB67ED5" w14:textId="77777777" w:rsidR="008523EB" w:rsidRPr="00782117" w:rsidRDefault="00E4765A">
      <w:pPr>
        <w:pStyle w:val="Default"/>
        <w:numPr>
          <w:ilvl w:val="0"/>
          <w:numId w:val="25"/>
        </w:numPr>
        <w:spacing w:before="120" w:after="120"/>
        <w:jc w:val="both"/>
        <w:rPr>
          <w:color w:val="auto"/>
          <w:sz w:val="22"/>
          <w:szCs w:val="22"/>
        </w:rPr>
      </w:pPr>
      <w:r w:rsidRPr="00782117">
        <w:rPr>
          <w:color w:val="auto"/>
          <w:sz w:val="22"/>
          <w:szCs w:val="22"/>
        </w:rPr>
        <w:lastRenderedPageBreak/>
        <w:t>Para comprobar los pagos efectuados por medio de transferencia bancaria y/o cheque se deberá presentar el correspondiente extracto bancario y copia del cheque.</w:t>
      </w:r>
    </w:p>
    <w:p w14:paraId="062C94E3" w14:textId="77777777" w:rsidR="008523EB" w:rsidRPr="00782117" w:rsidRDefault="00E4765A">
      <w:pPr>
        <w:pStyle w:val="Default"/>
        <w:numPr>
          <w:ilvl w:val="0"/>
          <w:numId w:val="25"/>
        </w:numPr>
        <w:spacing w:before="120" w:after="120"/>
        <w:jc w:val="both"/>
        <w:rPr>
          <w:rFonts w:eastAsiaTheme="minorHAnsi"/>
          <w:color w:val="auto"/>
          <w:sz w:val="22"/>
          <w:szCs w:val="22"/>
        </w:rPr>
      </w:pPr>
      <w:r w:rsidRPr="00782117">
        <w:rPr>
          <w:rFonts w:eastAsiaTheme="minorHAnsi"/>
          <w:iCs/>
          <w:color w:val="000000" w:themeColor="text1"/>
          <w:sz w:val="22"/>
          <w:szCs w:val="22"/>
          <w:u w:val="single"/>
        </w:rPr>
        <w:t>Tarjeta bancaria</w:t>
      </w:r>
      <w:r w:rsidRPr="00782117">
        <w:rPr>
          <w:rFonts w:eastAsiaTheme="minorHAnsi"/>
          <w:color w:val="000000" w:themeColor="text1"/>
          <w:sz w:val="22"/>
          <w:szCs w:val="22"/>
          <w:u w:val="single"/>
        </w:rPr>
        <w:t>:</w:t>
      </w:r>
      <w:r w:rsidRPr="00782117">
        <w:rPr>
          <w:rFonts w:eastAsiaTheme="minorHAnsi"/>
          <w:color w:val="000000" w:themeColor="text1"/>
          <w:sz w:val="22"/>
          <w:szCs w:val="22"/>
        </w:rPr>
        <w:t xml:space="preserve"> </w:t>
      </w:r>
      <w:r w:rsidRPr="00782117">
        <w:rPr>
          <w:rFonts w:eastAsiaTheme="minorHAnsi"/>
          <w:color w:val="auto"/>
          <w:sz w:val="22"/>
          <w:szCs w:val="22"/>
        </w:rPr>
        <w:t xml:space="preserve">copia del extracto bancario acreditativo del cargo en cuenta. </w:t>
      </w:r>
    </w:p>
    <w:p w14:paraId="77588454" w14:textId="77777777" w:rsidR="008523EB" w:rsidRPr="00782117" w:rsidRDefault="00E4765A">
      <w:pPr>
        <w:pStyle w:val="Default"/>
        <w:numPr>
          <w:ilvl w:val="0"/>
          <w:numId w:val="25"/>
        </w:numPr>
        <w:spacing w:before="120" w:after="120"/>
        <w:jc w:val="both"/>
        <w:rPr>
          <w:rFonts w:eastAsiaTheme="minorHAnsi"/>
          <w:color w:val="000000" w:themeColor="text1"/>
          <w:sz w:val="22"/>
          <w:szCs w:val="22"/>
        </w:rPr>
      </w:pPr>
      <w:r w:rsidRPr="00782117">
        <w:rPr>
          <w:iCs/>
          <w:color w:val="auto"/>
          <w:sz w:val="22"/>
          <w:szCs w:val="22"/>
          <w:u w:val="single"/>
        </w:rPr>
        <w:t>Efectivo</w:t>
      </w:r>
      <w:r w:rsidRPr="00782117">
        <w:rPr>
          <w:color w:val="auto"/>
          <w:sz w:val="22"/>
          <w:szCs w:val="22"/>
          <w:u w:val="single"/>
        </w:rPr>
        <w:t>:</w:t>
      </w:r>
      <w:r w:rsidRPr="00782117">
        <w:rPr>
          <w:color w:val="auto"/>
          <w:sz w:val="22"/>
          <w:szCs w:val="22"/>
        </w:rPr>
        <w:t xml:space="preserve"> </w:t>
      </w:r>
      <w:r w:rsidRPr="00782117">
        <w:rPr>
          <w:rFonts w:eastAsiaTheme="minorHAnsi"/>
          <w:color w:val="auto"/>
          <w:sz w:val="22"/>
          <w:szCs w:val="22"/>
        </w:rPr>
        <w:t>copia del</w:t>
      </w:r>
      <w:r w:rsidRPr="00782117">
        <w:rPr>
          <w:color w:val="auto"/>
          <w:sz w:val="22"/>
          <w:szCs w:val="22"/>
        </w:rPr>
        <w:t xml:space="preserve"> documento de caja (ejemplo: arqueo de caja, apunte contable de caja), firmado </w:t>
      </w:r>
      <w:r w:rsidRPr="00782117">
        <w:rPr>
          <w:rFonts w:eastAsiaTheme="minorHAnsi"/>
          <w:color w:val="auto"/>
          <w:sz w:val="22"/>
          <w:szCs w:val="22"/>
        </w:rPr>
        <w:t>y sellado</w:t>
      </w:r>
      <w:r w:rsidRPr="00782117">
        <w:rPr>
          <w:color w:val="auto"/>
          <w:sz w:val="22"/>
          <w:szCs w:val="22"/>
        </w:rPr>
        <w:t xml:space="preserve"> </w:t>
      </w:r>
      <w:r w:rsidRPr="00782117">
        <w:rPr>
          <w:color w:val="000000" w:themeColor="text1"/>
          <w:sz w:val="22"/>
          <w:szCs w:val="22"/>
        </w:rPr>
        <w:t>por el responsable, donde se incluya un comprobante de pago o documento de valor probatorio equivalente que asegure el recibo de dicho pago por parte del proveedor o prestador de servicios.</w:t>
      </w:r>
    </w:p>
    <w:p w14:paraId="19D98FBE" w14:textId="77777777" w:rsidR="008523EB" w:rsidRDefault="00E4765A">
      <w:pPr>
        <w:pStyle w:val="Default"/>
        <w:spacing w:before="120" w:after="120"/>
        <w:jc w:val="both"/>
        <w:rPr>
          <w:color w:val="000000" w:themeColor="text1"/>
          <w:sz w:val="22"/>
          <w:szCs w:val="22"/>
        </w:rPr>
      </w:pPr>
      <w:r>
        <w:rPr>
          <w:color w:val="000000" w:themeColor="text1"/>
          <w:sz w:val="22"/>
          <w:szCs w:val="22"/>
        </w:rPr>
        <w:t xml:space="preserve">Sólo se admitirá el pago en metálico de facturas o documentos justificativos del gasto con un máximo de 3.000 euros por beneficiario en cada proyecto, aprobado conforme a lo establecido en el DECRETO 36/2009, de 31 de marzo, por el que se establece el régimen general de subvenciones de la Comunidad Autónoma de Canarias. </w:t>
      </w:r>
    </w:p>
    <w:p w14:paraId="4A6C1E00" w14:textId="77777777" w:rsidR="008523EB" w:rsidRDefault="00E4765A">
      <w:pPr>
        <w:pStyle w:val="Default"/>
        <w:spacing w:before="120" w:after="120"/>
        <w:jc w:val="both"/>
        <w:rPr>
          <w:color w:val="000000" w:themeColor="text1"/>
          <w:sz w:val="22"/>
          <w:szCs w:val="22"/>
        </w:rPr>
      </w:pPr>
      <w:r>
        <w:rPr>
          <w:color w:val="000000" w:themeColor="text1"/>
          <w:sz w:val="22"/>
          <w:szCs w:val="22"/>
        </w:rPr>
        <w:t xml:space="preserve">Asimismo, deberá darse cumplimiento al límite de 1.000 euros en el pago a un mismo proveedor, de conformidad con lo establecido en el artículo decimoctavo de la Ley 11/2021, de 9 de julio, de medidas de prevención y lucha contra el fraude fiscal, mediante </w:t>
      </w:r>
      <w:r>
        <w:rPr>
          <w:strike/>
          <w:color w:val="000000" w:themeColor="text1"/>
          <w:sz w:val="22"/>
          <w:szCs w:val="22"/>
        </w:rPr>
        <w:t>el</w:t>
      </w:r>
      <w:r>
        <w:rPr>
          <w:color w:val="000000" w:themeColor="text1"/>
          <w:sz w:val="22"/>
          <w:szCs w:val="22"/>
        </w:rPr>
        <w:t xml:space="preserve"> la cual se modifica la Ley 7/2012, de 29 de octubre, de modificación de la normativa tributaria y presupuestaria y de adecuación de la normativa financiera para la intensificación de las actuaciones en la prevención y lucha contra el fraude.   (“</w:t>
      </w:r>
      <w:r>
        <w:rPr>
          <w:i/>
          <w:iCs/>
          <w:color w:val="000000" w:themeColor="text1"/>
          <w:sz w:val="22"/>
          <w:szCs w:val="22"/>
        </w:rPr>
        <w:t>No podrán pagarse en efectivo las operaciones en las que alguna de las partes intervinientes actúe en calidad de empresario o profesional, con un importe igual o superior a 1.000 euros o su contravalor en moneda extranjera</w:t>
      </w:r>
      <w:r>
        <w:rPr>
          <w:color w:val="000000" w:themeColor="text1"/>
          <w:sz w:val="22"/>
          <w:szCs w:val="22"/>
        </w:rPr>
        <w:t>”).</w:t>
      </w:r>
    </w:p>
    <w:p w14:paraId="30C7C5C2" w14:textId="77777777" w:rsidR="008523EB" w:rsidRDefault="00E4765A">
      <w:pPr>
        <w:pStyle w:val="Default"/>
        <w:spacing w:before="120" w:after="120"/>
        <w:jc w:val="both"/>
        <w:rPr>
          <w:b/>
          <w:color w:val="auto"/>
          <w:sz w:val="22"/>
          <w:szCs w:val="22"/>
          <w:u w:val="single"/>
        </w:rPr>
      </w:pPr>
      <w:r>
        <w:rPr>
          <w:b/>
          <w:color w:val="auto"/>
          <w:sz w:val="22"/>
          <w:szCs w:val="22"/>
          <w:u w:val="single"/>
        </w:rPr>
        <w:t>2. Para beneficiarios portugueses:</w:t>
      </w:r>
    </w:p>
    <w:p w14:paraId="7AFA828F" w14:textId="77777777" w:rsidR="008523EB" w:rsidRDefault="00E4765A">
      <w:pPr>
        <w:pStyle w:val="Default"/>
        <w:spacing w:before="120" w:after="120"/>
        <w:jc w:val="both"/>
        <w:rPr>
          <w:color w:val="auto"/>
          <w:sz w:val="22"/>
          <w:szCs w:val="22"/>
        </w:rPr>
      </w:pPr>
      <w:r>
        <w:rPr>
          <w:color w:val="auto"/>
          <w:sz w:val="22"/>
          <w:szCs w:val="22"/>
        </w:rPr>
        <w:t>Para el caso de socios portugueses, se exige la presentación del extracto bancario como justificante del pago, pudiendo ser complementado con la presentación del recibo.</w:t>
      </w:r>
    </w:p>
    <w:p w14:paraId="776F950B" w14:textId="77777777" w:rsidR="008523EB" w:rsidRDefault="00E4765A">
      <w:pPr>
        <w:pStyle w:val="Default"/>
        <w:spacing w:before="120" w:after="120"/>
        <w:jc w:val="both"/>
        <w:rPr>
          <w:color w:val="auto"/>
          <w:sz w:val="22"/>
          <w:szCs w:val="22"/>
        </w:rPr>
      </w:pPr>
      <w:r>
        <w:rPr>
          <w:color w:val="auto"/>
          <w:sz w:val="22"/>
          <w:szCs w:val="22"/>
        </w:rPr>
        <w:t>Genéricamente son considerados admisibles las siguientes formas de pago:</w:t>
      </w:r>
    </w:p>
    <w:p w14:paraId="0EB5B2D2" w14:textId="77777777" w:rsidR="008523EB" w:rsidRDefault="00E4765A">
      <w:pPr>
        <w:pStyle w:val="Default"/>
        <w:numPr>
          <w:ilvl w:val="0"/>
          <w:numId w:val="23"/>
        </w:numPr>
        <w:spacing w:before="120" w:after="120"/>
        <w:jc w:val="both"/>
        <w:rPr>
          <w:color w:val="auto"/>
          <w:sz w:val="22"/>
          <w:szCs w:val="22"/>
        </w:rPr>
      </w:pPr>
      <w:r>
        <w:rPr>
          <w:color w:val="auto"/>
          <w:sz w:val="22"/>
          <w:szCs w:val="22"/>
        </w:rPr>
        <w:t>Transferencia bancaria.</w:t>
      </w:r>
    </w:p>
    <w:p w14:paraId="6B99E473" w14:textId="77777777" w:rsidR="008523EB" w:rsidRDefault="00E4765A">
      <w:pPr>
        <w:pStyle w:val="Default"/>
        <w:numPr>
          <w:ilvl w:val="0"/>
          <w:numId w:val="23"/>
        </w:numPr>
        <w:spacing w:before="120" w:after="120"/>
        <w:jc w:val="both"/>
        <w:rPr>
          <w:color w:val="auto"/>
          <w:sz w:val="22"/>
          <w:szCs w:val="22"/>
        </w:rPr>
      </w:pPr>
      <w:r>
        <w:rPr>
          <w:color w:val="auto"/>
          <w:sz w:val="22"/>
          <w:szCs w:val="22"/>
        </w:rPr>
        <w:t>Cheque.</w:t>
      </w:r>
    </w:p>
    <w:p w14:paraId="09DDF888" w14:textId="77777777" w:rsidR="008523EB" w:rsidRDefault="00E4765A">
      <w:pPr>
        <w:pStyle w:val="Default"/>
        <w:numPr>
          <w:ilvl w:val="0"/>
          <w:numId w:val="23"/>
        </w:numPr>
        <w:spacing w:before="120" w:after="120"/>
        <w:jc w:val="both"/>
        <w:rPr>
          <w:color w:val="auto"/>
          <w:sz w:val="22"/>
          <w:szCs w:val="22"/>
        </w:rPr>
      </w:pPr>
      <w:r>
        <w:rPr>
          <w:color w:val="auto"/>
          <w:sz w:val="22"/>
          <w:szCs w:val="22"/>
        </w:rPr>
        <w:t>“Fundo de maneio”.</w:t>
      </w:r>
    </w:p>
    <w:p w14:paraId="23942A7D" w14:textId="77777777" w:rsidR="008523EB" w:rsidRDefault="00E4765A">
      <w:pPr>
        <w:pStyle w:val="Default"/>
        <w:numPr>
          <w:ilvl w:val="0"/>
          <w:numId w:val="23"/>
        </w:numPr>
        <w:spacing w:before="120" w:after="120"/>
        <w:jc w:val="both"/>
        <w:rPr>
          <w:color w:val="auto"/>
          <w:sz w:val="22"/>
          <w:szCs w:val="22"/>
        </w:rPr>
      </w:pPr>
      <w:r>
        <w:rPr>
          <w:color w:val="auto"/>
          <w:sz w:val="22"/>
          <w:szCs w:val="22"/>
        </w:rPr>
        <w:t>Tarjeta bancaria.</w:t>
      </w:r>
    </w:p>
    <w:p w14:paraId="062EAFEA" w14:textId="77777777" w:rsidR="008523EB" w:rsidRDefault="00E4765A">
      <w:pPr>
        <w:pStyle w:val="Default"/>
        <w:spacing w:before="120" w:after="120"/>
        <w:jc w:val="both"/>
        <w:rPr>
          <w:color w:val="auto"/>
          <w:sz w:val="22"/>
          <w:szCs w:val="22"/>
        </w:rPr>
      </w:pPr>
      <w:r>
        <w:rPr>
          <w:color w:val="auto"/>
          <w:sz w:val="22"/>
          <w:szCs w:val="22"/>
        </w:rPr>
        <w:t>Para comprobar los pagos efectuados por medio de transferencia bancaria y/o cheque se deberá presentar el correspondiente extracto bancario y copia del cheque.</w:t>
      </w:r>
    </w:p>
    <w:p w14:paraId="481F67D1" w14:textId="77777777" w:rsidR="008523EB" w:rsidRDefault="00E4765A">
      <w:pPr>
        <w:pStyle w:val="Default"/>
        <w:spacing w:before="120" w:after="120"/>
        <w:jc w:val="both"/>
        <w:rPr>
          <w:color w:val="auto"/>
          <w:sz w:val="22"/>
          <w:szCs w:val="22"/>
        </w:rPr>
      </w:pPr>
      <w:r>
        <w:rPr>
          <w:color w:val="auto"/>
          <w:sz w:val="22"/>
          <w:szCs w:val="22"/>
        </w:rPr>
        <w:t>Para pagos realizados por fundo de maneio deberá presentarse el comprobante de pago por cuenta del mismo o documento de valor probatorio equivalente, de modo que se pueda asegurar la verificación del circuito financiero. Hay que señalar que la utilización del fundo de maneio (numerario) debe tener lugar únicamente en situaciones excepcionales para pagos de importe unitario inferior a 250€, relativos a transacciones en las que la utilización de este medio de pago resulte lo más frecuente, en función de la naturaleza del gasto. El importe total de pagos realizados por fundo de maneio por proyecto y por beneficiario está limitado a 3.000€.</w:t>
      </w:r>
    </w:p>
    <w:p w14:paraId="77DEA586" w14:textId="77777777" w:rsidR="008523EB" w:rsidRDefault="00E4765A">
      <w:pPr>
        <w:pStyle w:val="Default"/>
        <w:spacing w:before="120" w:after="120"/>
        <w:jc w:val="both"/>
        <w:rPr>
          <w:color w:val="auto"/>
          <w:sz w:val="22"/>
          <w:szCs w:val="22"/>
        </w:rPr>
      </w:pPr>
      <w:r>
        <w:rPr>
          <w:color w:val="auto"/>
          <w:sz w:val="22"/>
          <w:szCs w:val="22"/>
        </w:rPr>
        <w:t>En caso de pagos efectuados con tarjeta bancaria, se deberá presentar copia del comprobante bancario de cargo en cuenta.</w:t>
      </w:r>
    </w:p>
    <w:p w14:paraId="3380F566" w14:textId="77777777" w:rsidR="008523EB" w:rsidRDefault="00E4765A">
      <w:pPr>
        <w:pStyle w:val="Default"/>
        <w:spacing w:before="120" w:after="120"/>
        <w:jc w:val="both"/>
        <w:rPr>
          <w:color w:val="auto"/>
          <w:sz w:val="22"/>
          <w:szCs w:val="22"/>
        </w:rPr>
      </w:pPr>
      <w:r>
        <w:rPr>
          <w:color w:val="auto"/>
          <w:sz w:val="22"/>
          <w:szCs w:val="22"/>
        </w:rPr>
        <w:lastRenderedPageBreak/>
        <w:t>En el caso de que un documento justificativo de un pago incluya varias facturas deberá ser acompañado de una declaración explicativa que identifique claramente las facturas que forman parte del gasto declarado.</w:t>
      </w:r>
    </w:p>
    <w:p w14:paraId="75531D4C" w14:textId="77777777" w:rsidR="008523EB" w:rsidRDefault="008523EB">
      <w:pPr>
        <w:pStyle w:val="Default"/>
        <w:spacing w:before="120" w:after="120"/>
        <w:jc w:val="both"/>
        <w:rPr>
          <w:color w:val="auto"/>
        </w:rPr>
      </w:pPr>
    </w:p>
    <w:p w14:paraId="1097E53F" w14:textId="77777777" w:rsidR="008523EB" w:rsidRDefault="00E4765A">
      <w:pPr>
        <w:pStyle w:val="Ttulo1"/>
        <w:spacing w:before="120" w:after="120"/>
        <w:rPr>
          <w:rFonts w:ascii="Tahoma" w:eastAsia="Arial Unicode MS" w:hAnsi="Tahoma" w:cs="Tahoma"/>
          <w:b/>
          <w:color w:val="1F4E79" w:themeColor="accent1" w:themeShade="80"/>
          <w:sz w:val="22"/>
          <w:szCs w:val="22"/>
          <w:lang w:eastAsia="zh-CN"/>
        </w:rPr>
      </w:pPr>
      <w:bookmarkStart w:id="32" w:name="_Toc188613833"/>
      <w:bookmarkStart w:id="33" w:name="_Toc190347181"/>
      <w:r>
        <w:rPr>
          <w:rFonts w:ascii="Tahoma" w:eastAsia="Times New Roman" w:hAnsi="Tahoma" w:cs="Tahoma"/>
          <w:b/>
          <w:color w:val="1F4E79" w:themeColor="accent1" w:themeShade="80"/>
          <w:sz w:val="22"/>
          <w:szCs w:val="22"/>
        </w:rPr>
        <w:t xml:space="preserve">14. </w:t>
      </w:r>
      <w:r>
        <w:rPr>
          <w:rFonts w:ascii="Tahoma" w:eastAsia="Arial Unicode MS" w:hAnsi="Tahoma" w:cs="Tahoma"/>
          <w:b/>
          <w:color w:val="1F4E79" w:themeColor="accent1" w:themeShade="80"/>
          <w:sz w:val="22"/>
          <w:szCs w:val="22"/>
          <w:lang w:eastAsia="zh-CN"/>
        </w:rPr>
        <w:t>CONSIDERACIONES FINALES</w:t>
      </w:r>
      <w:bookmarkEnd w:id="32"/>
      <w:bookmarkEnd w:id="33"/>
    </w:p>
    <w:p w14:paraId="2E426673" w14:textId="77777777" w:rsidR="008523EB" w:rsidRDefault="00E4765A">
      <w:pPr>
        <w:pStyle w:val="Default"/>
        <w:spacing w:before="120" w:after="120"/>
        <w:jc w:val="both"/>
        <w:rPr>
          <w:rFonts w:eastAsia="Times New Roman"/>
          <w:color w:val="000000" w:themeColor="text1"/>
          <w:sz w:val="22"/>
          <w:szCs w:val="22"/>
          <w:lang w:eastAsia="es-ES"/>
        </w:rPr>
      </w:pPr>
      <w:r>
        <w:rPr>
          <w:rFonts w:eastAsia="Times New Roman"/>
          <w:color w:val="000000" w:themeColor="text1"/>
          <w:sz w:val="22"/>
          <w:szCs w:val="22"/>
          <w:lang w:eastAsia="es-ES"/>
        </w:rPr>
        <w:t>A destacar las siguientes consideraciones:</w:t>
      </w:r>
    </w:p>
    <w:p w14:paraId="446104F9" w14:textId="77777777" w:rsidR="008523EB" w:rsidRDefault="00E4765A">
      <w:pPr>
        <w:pStyle w:val="Default"/>
        <w:numPr>
          <w:ilvl w:val="1"/>
          <w:numId w:val="2"/>
        </w:numPr>
        <w:spacing w:before="120" w:after="120"/>
        <w:ind w:left="993"/>
        <w:jc w:val="both"/>
        <w:rPr>
          <w:rFonts w:eastAsia="Times New Roman"/>
          <w:color w:val="00B050"/>
          <w:sz w:val="22"/>
          <w:szCs w:val="22"/>
          <w:lang w:eastAsia="es-ES"/>
        </w:rPr>
      </w:pPr>
      <w:r>
        <w:rPr>
          <w:rFonts w:eastAsia="Times New Roman"/>
          <w:color w:val="000000" w:themeColor="text1"/>
          <w:sz w:val="22"/>
          <w:szCs w:val="22"/>
          <w:lang w:eastAsia="es-ES"/>
        </w:rPr>
        <w:t>Para poder proceder a la verificación del gasto, la declaración de gastos debe estar correctamente subida al sistema informático de gestión del programa.</w:t>
      </w:r>
    </w:p>
    <w:p w14:paraId="59088AF7" w14:textId="77777777" w:rsidR="008523EB" w:rsidRDefault="00E4765A">
      <w:pPr>
        <w:pStyle w:val="Default"/>
        <w:numPr>
          <w:ilvl w:val="1"/>
          <w:numId w:val="2"/>
        </w:numPr>
        <w:spacing w:before="120" w:after="120"/>
        <w:ind w:left="993"/>
        <w:jc w:val="both"/>
        <w:rPr>
          <w:rFonts w:eastAsia="Times New Roman"/>
          <w:color w:val="000000" w:themeColor="text1"/>
          <w:sz w:val="22"/>
          <w:szCs w:val="22"/>
          <w:lang w:eastAsia="es-ES"/>
        </w:rPr>
      </w:pPr>
      <w:r>
        <w:rPr>
          <w:rFonts w:eastAsia="Times New Roman"/>
          <w:color w:val="000000" w:themeColor="text1"/>
          <w:sz w:val="22"/>
          <w:szCs w:val="22"/>
          <w:lang w:eastAsia="es-ES"/>
        </w:rPr>
        <w:t xml:space="preserve">La previsión del gasto en el formulario de candidatura aprobado no presupone su elegibilidad. </w:t>
      </w:r>
    </w:p>
    <w:p w14:paraId="37C7FCA6" w14:textId="77777777" w:rsidR="008523EB" w:rsidRDefault="00E4765A">
      <w:pPr>
        <w:pStyle w:val="Default"/>
        <w:numPr>
          <w:ilvl w:val="1"/>
          <w:numId w:val="2"/>
        </w:numPr>
        <w:spacing w:before="120" w:after="120"/>
        <w:ind w:left="993"/>
        <w:jc w:val="both"/>
        <w:rPr>
          <w:rFonts w:eastAsia="Times New Roman"/>
          <w:color w:val="000000" w:themeColor="text1"/>
          <w:sz w:val="22"/>
          <w:szCs w:val="22"/>
          <w:lang w:eastAsia="es-ES"/>
        </w:rPr>
      </w:pPr>
      <w:r>
        <w:rPr>
          <w:rFonts w:eastAsia="Times New Roman"/>
          <w:color w:val="000000" w:themeColor="text1"/>
          <w:sz w:val="22"/>
          <w:szCs w:val="22"/>
          <w:lang w:eastAsia="es-ES"/>
        </w:rPr>
        <w:t>La elegibilidad del gasto será determinada por el Controlador Regional en el momento de su verificación a la vista de la documentación aportada.</w:t>
      </w:r>
    </w:p>
    <w:p w14:paraId="0E343AC2" w14:textId="77777777" w:rsidR="008523EB" w:rsidRDefault="008523EB">
      <w:pPr>
        <w:pStyle w:val="Default"/>
        <w:spacing w:before="120" w:after="120"/>
        <w:jc w:val="both"/>
        <w:rPr>
          <w:rFonts w:eastAsia="Times New Roman"/>
          <w:color w:val="000000" w:themeColor="text1"/>
          <w:sz w:val="22"/>
          <w:szCs w:val="22"/>
          <w:lang w:eastAsia="es-ES"/>
        </w:rPr>
      </w:pPr>
    </w:p>
    <w:p w14:paraId="04BEDEC6" w14:textId="77777777" w:rsidR="008523EB" w:rsidRDefault="00E4765A">
      <w:pPr>
        <w:pStyle w:val="Ttulo1"/>
        <w:spacing w:before="120" w:after="240"/>
        <w:ind w:left="284"/>
        <w:rPr>
          <w:rFonts w:ascii="Tahoma" w:eastAsia="Arial Unicode MS" w:hAnsi="Tahoma" w:cs="Tahoma"/>
          <w:b/>
          <w:color w:val="1F4E79" w:themeColor="accent1" w:themeShade="80"/>
          <w:sz w:val="22"/>
          <w:szCs w:val="22"/>
          <w:lang w:eastAsia="zh-CN"/>
        </w:rPr>
      </w:pPr>
      <w:bookmarkStart w:id="34" w:name="_Toc188613834"/>
      <w:bookmarkStart w:id="35" w:name="_Toc190347182"/>
      <w:r>
        <w:rPr>
          <w:rFonts w:ascii="Tahoma" w:eastAsia="Arial Unicode MS" w:hAnsi="Tahoma" w:cs="Tahoma"/>
          <w:b/>
          <w:color w:val="1F4E79" w:themeColor="accent1" w:themeShade="80"/>
          <w:sz w:val="22"/>
          <w:szCs w:val="22"/>
          <w:lang w:eastAsia="zh-CN"/>
        </w:rPr>
        <w:t>15. ANEXOS (FICHAS TÉCNICAS POR CATEGORÍAS DE GASTOS)</w:t>
      </w:r>
      <w:bookmarkEnd w:id="34"/>
      <w:bookmarkEnd w:id="35"/>
    </w:p>
    <w:p w14:paraId="2975118C"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1: GASTOS DE PERSONAL</w:t>
      </w:r>
    </w:p>
    <w:p w14:paraId="0B2EE381"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2: GASTOS DE OFICINA Y ADMINISTRATIVOS</w:t>
      </w:r>
    </w:p>
    <w:p w14:paraId="20DA95D2"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3: GASTOS DE VIAJES Y ALOJAMIENTO</w:t>
      </w:r>
    </w:p>
    <w:p w14:paraId="7CB2577A"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4: GASTOS DE SERVICIOS Y ASESORAMIENTO EXTERNOS</w:t>
      </w:r>
    </w:p>
    <w:p w14:paraId="60D2DA61"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5: GASTOS DE EQUIPOS</w:t>
      </w:r>
    </w:p>
    <w:p w14:paraId="1410AD35"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6: GASTOS EN INFRAESTRUCTURAS Y OBRAS</w:t>
      </w:r>
    </w:p>
    <w:p w14:paraId="5ED1884B"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7: GASTOS DE COMUNICACIÓN</w:t>
      </w:r>
    </w:p>
    <w:p w14:paraId="27668E5F" w14:textId="77777777" w:rsidR="008523EB" w:rsidRDefault="00E4765A">
      <w:pPr>
        <w:pStyle w:val="Prrafodelista"/>
        <w:numPr>
          <w:ilvl w:val="1"/>
          <w:numId w:val="15"/>
        </w:numPr>
        <w:spacing w:before="120" w:after="120"/>
        <w:ind w:left="1077"/>
        <w:contextualSpacing w:val="0"/>
        <w:rPr>
          <w:rFonts w:ascii="Tahoma" w:hAnsi="Tahoma" w:cs="Tahoma"/>
          <w:sz w:val="22"/>
          <w:szCs w:val="22"/>
          <w:lang w:eastAsia="zh-CN"/>
        </w:rPr>
      </w:pPr>
      <w:r>
        <w:rPr>
          <w:rFonts w:ascii="Tahoma" w:hAnsi="Tahoma" w:cs="Tahoma"/>
          <w:sz w:val="22"/>
          <w:szCs w:val="22"/>
          <w:lang w:eastAsia="zh-CN"/>
        </w:rPr>
        <w:t>FICHA TÉCNICA 8: EXPEDIENTES DE CONTRATACIÓN</w:t>
      </w:r>
    </w:p>
    <w:p w14:paraId="2470A649" w14:textId="77777777" w:rsidR="00E4765A" w:rsidRPr="00E4765A" w:rsidRDefault="00E4765A">
      <w:pPr>
        <w:pStyle w:val="Prrafodelista"/>
        <w:numPr>
          <w:ilvl w:val="1"/>
          <w:numId w:val="15"/>
        </w:numPr>
        <w:spacing w:before="120" w:after="120"/>
        <w:ind w:left="1077"/>
        <w:contextualSpacing w:val="0"/>
        <w:rPr>
          <w:rFonts w:ascii="Tahoma" w:hAnsi="Tahoma" w:cs="Tahoma"/>
          <w:sz w:val="22"/>
          <w:szCs w:val="22"/>
          <w:highlight w:val="green"/>
          <w:lang w:eastAsia="zh-CN"/>
        </w:rPr>
      </w:pPr>
      <w:r w:rsidRPr="00E4765A">
        <w:rPr>
          <w:rFonts w:ascii="Tahoma" w:hAnsi="Tahoma" w:cs="Tahoma"/>
          <w:sz w:val="22"/>
          <w:szCs w:val="22"/>
          <w:highlight w:val="green"/>
          <w:lang w:eastAsia="zh-CN"/>
        </w:rPr>
        <w:t>FICHA TÉCNICA 9: AYUDAS DE ESTADO</w:t>
      </w:r>
    </w:p>
    <w:sectPr w:rsidR="00E4765A" w:rsidRPr="00E4765A">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418" w:left="1701" w:header="709" w:footer="709" w:gutter="0"/>
      <w:pgNumType w:start="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10198" w14:textId="77777777" w:rsidR="005A4769" w:rsidRDefault="00E4765A">
      <w:pPr>
        <w:spacing w:before="0" w:after="0"/>
      </w:pPr>
      <w:r>
        <w:separator/>
      </w:r>
    </w:p>
  </w:endnote>
  <w:endnote w:type="continuationSeparator" w:id="0">
    <w:p w14:paraId="73FB86B6" w14:textId="77777777" w:rsidR="005A4769" w:rsidRDefault="00E476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CD92E" w14:textId="77777777" w:rsidR="005E7426" w:rsidRDefault="005E742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rPr>
      <w:id w:val="-1439600984"/>
      <w:docPartObj>
        <w:docPartGallery w:val="Page Numbers (Bottom of Page)"/>
        <w:docPartUnique/>
      </w:docPartObj>
    </w:sdtPr>
    <w:sdtEndPr/>
    <w:sdtContent>
      <w:p w14:paraId="6737FB26" w14:textId="77777777" w:rsidR="008523EB" w:rsidRDefault="008523EB">
        <w:pPr>
          <w:pStyle w:val="Textonotaalfinal"/>
        </w:pPr>
      </w:p>
      <w:p w14:paraId="69AAC069" w14:textId="77777777" w:rsidR="008523EB" w:rsidRDefault="005E7426">
        <w:pPr>
          <w:pStyle w:val="Piedepgina"/>
          <w:jc w:val="center"/>
        </w:pPr>
      </w:p>
    </w:sdtContent>
  </w:sdt>
  <w:p w14:paraId="56A473A7" w14:textId="77777777" w:rsidR="008523EB" w:rsidRDefault="00E4765A">
    <w:pPr>
      <w:pStyle w:val="Piedepgina"/>
      <w:jc w:val="center"/>
    </w:pPr>
    <w:r>
      <w:fldChar w:fldCharType="begin"/>
    </w:r>
    <w:r>
      <w:instrText xml:space="preserve"> PAGE </w:instrText>
    </w:r>
    <w:r>
      <w:fldChar w:fldCharType="separate"/>
    </w:r>
    <w:r w:rsidR="005E7426">
      <w:rPr>
        <w:noProof/>
      </w:rPr>
      <w:t>1</w:t>
    </w:r>
    <w:r>
      <w:fldChar w:fldCharType="end"/>
    </w:r>
  </w:p>
  <w:p w14:paraId="7DF5C301" w14:textId="289DA955" w:rsidR="008523EB" w:rsidRDefault="00782117">
    <w:pPr>
      <w:pStyle w:val="Piedepgina"/>
    </w:pPr>
    <w:r>
      <w:rPr>
        <w:highlight w:val="green"/>
      </w:rPr>
      <w:t>Jul</w:t>
    </w:r>
    <w:r w:rsidR="00DB025C" w:rsidRPr="00DB025C">
      <w:rPr>
        <w:highlight w:val="green"/>
      </w:rPr>
      <w:t>io</w:t>
    </w:r>
    <w:r w:rsidR="00E4765A" w:rsidRPr="00DB025C">
      <w:rPr>
        <w:highlight w:val="green"/>
      </w:rPr>
      <w:t xml:space="preserve"> 2026_v</w:t>
    </w:r>
    <w:r w:rsidR="00DB025C" w:rsidRPr="00DB025C">
      <w:rPr>
        <w:highlight w:val="green"/>
      </w:rPr>
      <w:t>6</w:t>
    </w:r>
    <w:bookmarkStart w:id="36" w:name="_GoBack"/>
    <w:bookmarkEnd w:id="36"/>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8825" w14:textId="6154BB69" w:rsidR="008523EB" w:rsidRDefault="00E4765A">
    <w:pPr>
      <w:pStyle w:val="Piedepgina"/>
    </w:pPr>
    <w:r w:rsidRPr="00582EB3">
      <w:rPr>
        <w:highlight w:val="green"/>
      </w:rPr>
      <w:t>Versión</w:t>
    </w:r>
    <w:r w:rsidR="005E7426">
      <w:rPr>
        <w:highlight w:val="green"/>
      </w:rPr>
      <w:t xml:space="preserve"> </w:t>
    </w:r>
    <w:r w:rsidR="00582EB3" w:rsidRPr="00582EB3">
      <w:rPr>
        <w:highlight w:val="green"/>
      </w:rPr>
      <w:t>6</w:t>
    </w:r>
    <w:r w:rsidRPr="00582EB3">
      <w:rPr>
        <w:highlight w:val="green"/>
      </w:rPr>
      <w:t>_</w:t>
    </w:r>
    <w:r w:rsidR="00582EB3" w:rsidRPr="00582EB3">
      <w:rPr>
        <w:highlight w:val="green"/>
      </w:rPr>
      <w:t>julio</w:t>
    </w:r>
    <w:r w:rsidRPr="00582EB3">
      <w:rPr>
        <w:highlight w:val="green"/>
      </w:rPr>
      <w:t xml:space="preserve">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A0000" w14:textId="77777777" w:rsidR="008523EB" w:rsidRDefault="00E4765A">
      <w:r>
        <w:separator/>
      </w:r>
    </w:p>
  </w:footnote>
  <w:footnote w:type="continuationSeparator" w:id="0">
    <w:p w14:paraId="0C60FCAC" w14:textId="77777777" w:rsidR="008523EB" w:rsidRDefault="00E4765A">
      <w:r>
        <w:continuationSeparator/>
      </w:r>
    </w:p>
  </w:footnote>
  <w:footnote w:id="1">
    <w:p w14:paraId="0D1C18F2" w14:textId="77777777" w:rsidR="008523EB" w:rsidRDefault="00E4765A">
      <w:pPr>
        <w:pStyle w:val="Textonotapie"/>
        <w:rPr>
          <w:rFonts w:cstheme="minorHAnsi"/>
          <w:sz w:val="18"/>
          <w:szCs w:val="18"/>
        </w:rPr>
      </w:pPr>
      <w:r>
        <w:rPr>
          <w:rStyle w:val="Caracteresdenotaalpie"/>
        </w:rPr>
        <w:footnoteRef/>
      </w:r>
      <w:r>
        <w:rPr>
          <w:rFonts w:cstheme="minorHAnsi"/>
        </w:rPr>
        <w:t xml:space="preserve"> </w:t>
      </w:r>
      <w:r>
        <w:rPr>
          <w:rFonts w:cstheme="minorHAnsi"/>
          <w:sz w:val="18"/>
          <w:szCs w:val="18"/>
        </w:rPr>
        <w:t>Por entidades vinculadas debe entenderse aquellas en las que una de ellas es entidad matriz de la otra, o ambas son filiales de una misma matriz, o ambas pertenecen al mismo grupo o una ejerce una influencia sobre la otra en su política financiera o gestión.</w:t>
      </w:r>
    </w:p>
  </w:footnote>
  <w:footnote w:id="2">
    <w:p w14:paraId="09F5C20D" w14:textId="77777777" w:rsidR="008523EB" w:rsidRDefault="00E4765A">
      <w:pPr>
        <w:spacing w:before="0" w:after="0"/>
        <w:rPr>
          <w:rFonts w:cstheme="minorHAnsi"/>
          <w:sz w:val="18"/>
          <w:szCs w:val="18"/>
        </w:rPr>
      </w:pPr>
      <w:r>
        <w:rPr>
          <w:rStyle w:val="Caracteresdenotaalpie"/>
        </w:rPr>
        <w:footnoteRef/>
      </w:r>
      <w:r>
        <w:rPr>
          <w:rFonts w:cstheme="minorHAnsi"/>
          <w:sz w:val="18"/>
          <w:szCs w:val="18"/>
        </w:rPr>
        <w:t xml:space="preserve"> Tipo de cambio mensual publicado cada mes por la Comisión Europea en el sitio de Internet InforEuro:</w:t>
      </w:r>
      <w:hyperlink r:id="rId1">
        <w:r>
          <w:rPr>
            <w:rStyle w:val="Hipervnculo"/>
            <w:rFonts w:cstheme="minorHAnsi"/>
            <w:sz w:val="18"/>
            <w:szCs w:val="18"/>
          </w:rPr>
          <w:t>https://ec.europa.eu/info/funding-tenders/procedures-guidelines-tenders/information-contractors-and-beneficiaries/exchange-rate-inforeuro_es</w:t>
        </w:r>
      </w:hyperlink>
      <w:r>
        <w:rPr>
          <w:rFonts w:cstheme="minorHAnsi"/>
          <w:sz w:val="18"/>
          <w:szCs w:val="18"/>
        </w:rPr>
        <w:t>/pt</w:t>
      </w:r>
    </w:p>
    <w:p w14:paraId="342220CD" w14:textId="77777777" w:rsidR="008523EB" w:rsidRDefault="008523EB">
      <w:pPr>
        <w:spacing w:before="0" w:after="0"/>
        <w:rPr>
          <w:rFonts w:cs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8992A" w14:textId="77777777" w:rsidR="005E7426" w:rsidRDefault="005E742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06937" w14:textId="77777777" w:rsidR="008523EB" w:rsidRDefault="00E4765A">
    <w:pPr>
      <w:pStyle w:val="Encabezado"/>
    </w:pPr>
    <w:r>
      <w:rPr>
        <w:noProof/>
      </w:rPr>
      <w:drawing>
        <wp:anchor distT="0" distB="0" distL="114300" distR="114300" simplePos="0" relativeHeight="17" behindDoc="1" locked="0" layoutInCell="0" allowOverlap="1" wp14:anchorId="74A732C1" wp14:editId="4D52FD24">
          <wp:simplePos x="0" y="0"/>
          <wp:positionH relativeFrom="column">
            <wp:posOffset>3253740</wp:posOffset>
          </wp:positionH>
          <wp:positionV relativeFrom="paragraph">
            <wp:posOffset>-31115</wp:posOffset>
          </wp:positionV>
          <wp:extent cx="2212975" cy="670560"/>
          <wp:effectExtent l="0" t="0" r="0" b="0"/>
          <wp:wrapSquare wrapText="bothSides"/>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noChangeArrowheads="1"/>
                  </pic:cNvPicPr>
                </pic:nvPicPr>
                <pic:blipFill>
                  <a:blip r:embed="rId1"/>
                  <a:stretch>
                    <a:fillRect/>
                  </a:stretch>
                </pic:blipFill>
                <pic:spPr bwMode="auto">
                  <a:xfrm>
                    <a:off x="0" y="0"/>
                    <a:ext cx="2212975" cy="670560"/>
                  </a:xfrm>
                  <a:prstGeom prst="rect">
                    <a:avLst/>
                  </a:prstGeom>
                  <a:noFill/>
                </pic:spPr>
              </pic:pic>
            </a:graphicData>
          </a:graphic>
        </wp:anchor>
      </w:drawing>
    </w:r>
    <w:r>
      <w:rPr>
        <w:noProof/>
      </w:rPr>
      <w:drawing>
        <wp:anchor distT="0" distB="0" distL="114300" distR="114300" simplePos="0" relativeHeight="31" behindDoc="1" locked="0" layoutInCell="0" allowOverlap="1" wp14:anchorId="03C61EA1" wp14:editId="6291C414">
          <wp:simplePos x="0" y="0"/>
          <wp:positionH relativeFrom="column">
            <wp:posOffset>-241935</wp:posOffset>
          </wp:positionH>
          <wp:positionV relativeFrom="paragraph">
            <wp:posOffset>73660</wp:posOffset>
          </wp:positionV>
          <wp:extent cx="2456815" cy="530225"/>
          <wp:effectExtent l="0" t="0" r="0" b="0"/>
          <wp:wrapSquare wrapText="bothSides"/>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noChangeArrowheads="1"/>
                  </pic:cNvPicPr>
                </pic:nvPicPr>
                <pic:blipFill>
                  <a:blip r:embed="rId2"/>
                  <a:stretch>
                    <a:fillRect/>
                  </a:stretch>
                </pic:blipFill>
                <pic:spPr bwMode="auto">
                  <a:xfrm>
                    <a:off x="0" y="0"/>
                    <a:ext cx="2456815" cy="53022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FD9E5" w14:textId="77777777" w:rsidR="008523EB" w:rsidRDefault="00E4765A">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1744"/>
    <w:multiLevelType w:val="multilevel"/>
    <w:tmpl w:val="9A982C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50B96"/>
    <w:multiLevelType w:val="multilevel"/>
    <w:tmpl w:val="6C3491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8335D78"/>
    <w:multiLevelType w:val="multilevel"/>
    <w:tmpl w:val="2C96FD3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287B26DE"/>
    <w:multiLevelType w:val="multilevel"/>
    <w:tmpl w:val="8CBEFDAA"/>
    <w:lvl w:ilvl="0">
      <w:start w:val="1"/>
      <w:numFmt w:val="bullet"/>
      <w:lvlText w:val=""/>
      <w:lvlJc w:val="left"/>
      <w:pPr>
        <w:tabs>
          <w:tab w:val="num" w:pos="-76"/>
        </w:tabs>
        <w:ind w:left="644"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8881B04"/>
    <w:multiLevelType w:val="multilevel"/>
    <w:tmpl w:val="50E02E80"/>
    <w:lvl w:ilvl="0">
      <w:start w:val="1"/>
      <w:numFmt w:val="decimal"/>
      <w:lvlText w:val="%1."/>
      <w:lvlJc w:val="left"/>
      <w:pPr>
        <w:tabs>
          <w:tab w:val="num" w:pos="0"/>
        </w:tabs>
        <w:ind w:left="360" w:hanging="360"/>
      </w:pPr>
      <w:rPr>
        <w:sz w:val="22"/>
        <w:szCs w:val="22"/>
        <w:lang w:eastAsia="es-ES"/>
      </w:rPr>
    </w:lvl>
    <w:lvl w:ilvl="1">
      <w:start w:val="1"/>
      <w:numFmt w:val="decimal"/>
      <w:lvlText w:val="%1.%2."/>
      <w:lvlJc w:val="left"/>
      <w:pPr>
        <w:tabs>
          <w:tab w:val="num" w:pos="0"/>
        </w:tabs>
        <w:ind w:left="792" w:hanging="432"/>
      </w:pPr>
      <w:rPr>
        <w:b w:val="0"/>
        <w:sz w:val="22"/>
        <w:szCs w:val="22"/>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906798C"/>
    <w:multiLevelType w:val="multilevel"/>
    <w:tmpl w:val="9E883652"/>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294E6056"/>
    <w:multiLevelType w:val="multilevel"/>
    <w:tmpl w:val="41165216"/>
    <w:lvl w:ilvl="0">
      <w:start w:val="1"/>
      <w:numFmt w:val="decimal"/>
      <w:lvlText w:val="%1."/>
      <w:lvlJc w:val="left"/>
      <w:pPr>
        <w:tabs>
          <w:tab w:val="num" w:pos="0"/>
        </w:tabs>
        <w:ind w:left="360" w:hanging="360"/>
      </w:pPr>
      <w:rPr>
        <w:sz w:val="22"/>
        <w:szCs w:val="22"/>
        <w:lang w:eastAsia="es-ES"/>
      </w:rPr>
    </w:lvl>
    <w:lvl w:ilvl="1">
      <w:start w:val="1"/>
      <w:numFmt w:val="decimal"/>
      <w:lvlText w:val="%1.%2."/>
      <w:lvlJc w:val="left"/>
      <w:pPr>
        <w:tabs>
          <w:tab w:val="num" w:pos="0"/>
        </w:tabs>
        <w:ind w:left="792" w:hanging="432"/>
      </w:pPr>
      <w:rPr>
        <w:sz w:val="22"/>
        <w:szCs w:val="22"/>
      </w:rPr>
    </w:lvl>
    <w:lvl w:ilvl="2">
      <w:start w:val="1"/>
      <w:numFmt w:val="lowerLetter"/>
      <w:lvlText w:val="%3)"/>
      <w:lvlJc w:val="left"/>
      <w:pPr>
        <w:tabs>
          <w:tab w:val="num" w:pos="0"/>
        </w:tabs>
        <w:ind w:left="1224" w:hanging="504"/>
      </w:pPr>
      <w:rPr>
        <w:sz w:val="24"/>
        <w:szCs w:val="24"/>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9DB76AC"/>
    <w:multiLevelType w:val="multilevel"/>
    <w:tmpl w:val="CF3472A4"/>
    <w:lvl w:ilvl="0">
      <w:start w:val="1"/>
      <w:numFmt w:val="decimal"/>
      <w:lvlText w:val="%1."/>
      <w:lvlJc w:val="left"/>
      <w:pPr>
        <w:tabs>
          <w:tab w:val="num" w:pos="0"/>
        </w:tabs>
        <w:ind w:left="360" w:hanging="360"/>
      </w:pPr>
      <w:rPr>
        <w:sz w:val="22"/>
        <w:szCs w:val="22"/>
      </w:rPr>
    </w:lvl>
    <w:lvl w:ilvl="1">
      <w:start w:val="2"/>
      <w:numFmt w:val="decimal"/>
      <w:lvlText w:val="%1.%2."/>
      <w:lvlJc w:val="left"/>
      <w:pPr>
        <w:tabs>
          <w:tab w:val="num" w:pos="0"/>
        </w:tabs>
        <w:ind w:left="792" w:hanging="432"/>
      </w:pPr>
      <w:rPr>
        <w:sz w:val="22"/>
        <w:szCs w:val="22"/>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EBA53C8"/>
    <w:multiLevelType w:val="multilevel"/>
    <w:tmpl w:val="AFA2790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32E7031D"/>
    <w:multiLevelType w:val="multilevel"/>
    <w:tmpl w:val="351600C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4E85598"/>
    <w:multiLevelType w:val="multilevel"/>
    <w:tmpl w:val="D4E2740E"/>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35FB2FA6"/>
    <w:multiLevelType w:val="multilevel"/>
    <w:tmpl w:val="632CF7F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DE1130E"/>
    <w:multiLevelType w:val="multilevel"/>
    <w:tmpl w:val="5EEAAA22"/>
    <w:lvl w:ilvl="0">
      <w:start w:val="1"/>
      <w:numFmt w:val="decimal"/>
      <w:lvlText w:val="%1."/>
      <w:lvlJc w:val="left"/>
      <w:pPr>
        <w:tabs>
          <w:tab w:val="num" w:pos="0"/>
        </w:tabs>
        <w:ind w:left="360" w:hanging="360"/>
      </w:pPr>
      <w:rPr>
        <w:sz w:val="22"/>
        <w:szCs w:val="22"/>
        <w:lang w:eastAsia="es-ES"/>
      </w:rPr>
    </w:lvl>
    <w:lvl w:ilvl="1">
      <w:start w:val="1"/>
      <w:numFmt w:val="decimal"/>
      <w:lvlText w:val="%1.%2."/>
      <w:lvlJc w:val="left"/>
      <w:pPr>
        <w:tabs>
          <w:tab w:val="num" w:pos="0"/>
        </w:tabs>
        <w:ind w:left="792" w:hanging="432"/>
      </w:pPr>
      <w:rPr>
        <w:sz w:val="22"/>
        <w:szCs w:val="22"/>
      </w:rPr>
    </w:lvl>
    <w:lvl w:ilvl="2">
      <w:start w:val="1"/>
      <w:numFmt w:val="lowerLetter"/>
      <w:lvlText w:val="%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446471B2"/>
    <w:multiLevelType w:val="multilevel"/>
    <w:tmpl w:val="EDE89C4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B181647"/>
    <w:multiLevelType w:val="multilevel"/>
    <w:tmpl w:val="8F066C22"/>
    <w:lvl w:ilvl="0">
      <w:start w:val="1"/>
      <w:numFmt w:val="bullet"/>
      <w:lvlText w:val=""/>
      <w:lvlJc w:val="left"/>
      <w:pPr>
        <w:tabs>
          <w:tab w:val="num" w:pos="0"/>
        </w:tabs>
        <w:ind w:left="1068" w:hanging="360"/>
      </w:pPr>
      <w:rPr>
        <w:rFonts w:ascii="Wingdings" w:hAnsi="Wingdings" w:cs="Wingding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5" w15:restartNumberingAfterBreak="0">
    <w:nsid w:val="502B54A6"/>
    <w:multiLevelType w:val="multilevel"/>
    <w:tmpl w:val="6F743342"/>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5A44859"/>
    <w:multiLevelType w:val="multilevel"/>
    <w:tmpl w:val="6BFE71F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6F5322F"/>
    <w:multiLevelType w:val="multilevel"/>
    <w:tmpl w:val="EE88905C"/>
    <w:lvl w:ilvl="0">
      <w:start w:val="1"/>
      <w:numFmt w:val="lowerLetter"/>
      <w:lvlText w:val="%1)"/>
      <w:lvlJc w:val="left"/>
      <w:pPr>
        <w:tabs>
          <w:tab w:val="num" w:pos="0"/>
        </w:tabs>
        <w:ind w:left="748" w:hanging="360"/>
      </w:pPr>
    </w:lvl>
    <w:lvl w:ilvl="1">
      <w:start w:val="1"/>
      <w:numFmt w:val="bullet"/>
      <w:lvlText w:val="o"/>
      <w:lvlJc w:val="left"/>
      <w:pPr>
        <w:tabs>
          <w:tab w:val="num" w:pos="0"/>
        </w:tabs>
        <w:ind w:left="1468" w:hanging="360"/>
      </w:pPr>
      <w:rPr>
        <w:rFonts w:ascii="Courier New" w:hAnsi="Courier New" w:cs="Courier New" w:hint="default"/>
      </w:rPr>
    </w:lvl>
    <w:lvl w:ilvl="2">
      <w:start w:val="1"/>
      <w:numFmt w:val="bullet"/>
      <w:lvlText w:val=""/>
      <w:lvlJc w:val="left"/>
      <w:pPr>
        <w:tabs>
          <w:tab w:val="num" w:pos="0"/>
        </w:tabs>
        <w:ind w:left="2188" w:hanging="360"/>
      </w:pPr>
      <w:rPr>
        <w:rFonts w:ascii="Wingdings" w:hAnsi="Wingdings" w:cs="Wingdings" w:hint="default"/>
      </w:rPr>
    </w:lvl>
    <w:lvl w:ilvl="3">
      <w:start w:val="1"/>
      <w:numFmt w:val="bullet"/>
      <w:lvlText w:val=""/>
      <w:lvlJc w:val="left"/>
      <w:pPr>
        <w:tabs>
          <w:tab w:val="num" w:pos="0"/>
        </w:tabs>
        <w:ind w:left="2908" w:hanging="360"/>
      </w:pPr>
      <w:rPr>
        <w:rFonts w:ascii="Symbol" w:hAnsi="Symbol" w:cs="Symbol" w:hint="default"/>
      </w:rPr>
    </w:lvl>
    <w:lvl w:ilvl="4">
      <w:start w:val="1"/>
      <w:numFmt w:val="bullet"/>
      <w:lvlText w:val="o"/>
      <w:lvlJc w:val="left"/>
      <w:pPr>
        <w:tabs>
          <w:tab w:val="num" w:pos="0"/>
        </w:tabs>
        <w:ind w:left="3628" w:hanging="360"/>
      </w:pPr>
      <w:rPr>
        <w:rFonts w:ascii="Courier New" w:hAnsi="Courier New" w:cs="Courier New" w:hint="default"/>
      </w:rPr>
    </w:lvl>
    <w:lvl w:ilvl="5">
      <w:start w:val="1"/>
      <w:numFmt w:val="bullet"/>
      <w:lvlText w:val=""/>
      <w:lvlJc w:val="left"/>
      <w:pPr>
        <w:tabs>
          <w:tab w:val="num" w:pos="0"/>
        </w:tabs>
        <w:ind w:left="4348" w:hanging="360"/>
      </w:pPr>
      <w:rPr>
        <w:rFonts w:ascii="Wingdings" w:hAnsi="Wingdings" w:cs="Wingdings" w:hint="default"/>
      </w:rPr>
    </w:lvl>
    <w:lvl w:ilvl="6">
      <w:start w:val="1"/>
      <w:numFmt w:val="bullet"/>
      <w:lvlText w:val=""/>
      <w:lvlJc w:val="left"/>
      <w:pPr>
        <w:tabs>
          <w:tab w:val="num" w:pos="0"/>
        </w:tabs>
        <w:ind w:left="5068" w:hanging="360"/>
      </w:pPr>
      <w:rPr>
        <w:rFonts w:ascii="Symbol" w:hAnsi="Symbol" w:cs="Symbol" w:hint="default"/>
      </w:rPr>
    </w:lvl>
    <w:lvl w:ilvl="7">
      <w:start w:val="1"/>
      <w:numFmt w:val="bullet"/>
      <w:lvlText w:val="o"/>
      <w:lvlJc w:val="left"/>
      <w:pPr>
        <w:tabs>
          <w:tab w:val="num" w:pos="0"/>
        </w:tabs>
        <w:ind w:left="5788" w:hanging="360"/>
      </w:pPr>
      <w:rPr>
        <w:rFonts w:ascii="Courier New" w:hAnsi="Courier New" w:cs="Courier New" w:hint="default"/>
      </w:rPr>
    </w:lvl>
    <w:lvl w:ilvl="8">
      <w:start w:val="1"/>
      <w:numFmt w:val="bullet"/>
      <w:lvlText w:val=""/>
      <w:lvlJc w:val="left"/>
      <w:pPr>
        <w:tabs>
          <w:tab w:val="num" w:pos="0"/>
        </w:tabs>
        <w:ind w:left="6508" w:hanging="360"/>
      </w:pPr>
      <w:rPr>
        <w:rFonts w:ascii="Wingdings" w:hAnsi="Wingdings" w:cs="Wingdings" w:hint="default"/>
      </w:rPr>
    </w:lvl>
  </w:abstractNum>
  <w:abstractNum w:abstractNumId="18" w15:restartNumberingAfterBreak="0">
    <w:nsid w:val="658C08C9"/>
    <w:multiLevelType w:val="multilevel"/>
    <w:tmpl w:val="8A0C9604"/>
    <w:lvl w:ilvl="0">
      <w:start w:val="14"/>
      <w:numFmt w:val="decimal"/>
      <w:lvlText w:val="%1."/>
      <w:lvlJc w:val="left"/>
      <w:pPr>
        <w:tabs>
          <w:tab w:val="num" w:pos="0"/>
        </w:tabs>
        <w:ind w:left="644" w:hanging="360"/>
      </w:pPr>
    </w:lvl>
    <w:lvl w:ilvl="1">
      <w:start w:val="1"/>
      <w:numFmt w:val="decimal"/>
      <w:lvlText w:val="%2."/>
      <w:lvlJc w:val="left"/>
      <w:pPr>
        <w:tabs>
          <w:tab w:val="num" w:pos="0"/>
        </w:tabs>
        <w:ind w:left="1080" w:hanging="720"/>
      </w:pPr>
      <w:rPr>
        <w:b/>
        <w:i w:val="0"/>
        <w:sz w:val="22"/>
        <w:szCs w:val="22"/>
      </w:rPr>
    </w:lvl>
    <w:lvl w:ilvl="2">
      <w:start w:val="1"/>
      <w:numFmt w:val="decimal"/>
      <w:isLgl/>
      <w:lvlText w:val="%1.%2.%3."/>
      <w:lvlJc w:val="left"/>
      <w:pPr>
        <w:tabs>
          <w:tab w:val="num" w:pos="0"/>
        </w:tabs>
        <w:ind w:left="1080" w:hanging="720"/>
      </w:pPr>
      <w:rPr>
        <w:sz w:val="24"/>
        <w:szCs w:val="24"/>
      </w:r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160" w:hanging="1800"/>
      </w:pPr>
    </w:lvl>
  </w:abstractNum>
  <w:abstractNum w:abstractNumId="19" w15:restartNumberingAfterBreak="0">
    <w:nsid w:val="68D870DC"/>
    <w:multiLevelType w:val="multilevel"/>
    <w:tmpl w:val="F126C0C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8EC7213"/>
    <w:multiLevelType w:val="multilevel"/>
    <w:tmpl w:val="4BD0F83E"/>
    <w:lvl w:ilvl="0">
      <w:start w:val="1"/>
      <w:numFmt w:val="bullet"/>
      <w:lvlText w:val=""/>
      <w:lvlJc w:val="left"/>
      <w:pPr>
        <w:tabs>
          <w:tab w:val="num" w:pos="0"/>
        </w:tabs>
        <w:ind w:left="1152" w:hanging="360"/>
      </w:pPr>
      <w:rPr>
        <w:rFonts w:ascii="Wingdings" w:hAnsi="Wingdings" w:cs="Wingdings"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21" w15:restartNumberingAfterBreak="0">
    <w:nsid w:val="69A36258"/>
    <w:multiLevelType w:val="multilevel"/>
    <w:tmpl w:val="134A81E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31B26D7"/>
    <w:multiLevelType w:val="multilevel"/>
    <w:tmpl w:val="83B06A50"/>
    <w:lvl w:ilvl="0">
      <w:start w:val="1"/>
      <w:numFmt w:val="lowerLetter"/>
      <w:lvlText w:val="%1)"/>
      <w:lvlJc w:val="left"/>
      <w:pPr>
        <w:tabs>
          <w:tab w:val="num" w:pos="0"/>
        </w:tabs>
        <w:ind w:left="720" w:hanging="360"/>
      </w:pPr>
    </w:lvl>
    <w:lvl w:ilvl="1">
      <w:numFmt w:val="bullet"/>
      <w:lvlText w:val="-"/>
      <w:lvlJc w:val="left"/>
      <w:pPr>
        <w:tabs>
          <w:tab w:val="num" w:pos="0"/>
        </w:tabs>
        <w:ind w:left="1440" w:hanging="360"/>
      </w:pPr>
      <w:rPr>
        <w:rFonts w:ascii="Calibri" w:hAnsi="Calibri" w:cs="Calibri" w:hint="default"/>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8465655"/>
    <w:multiLevelType w:val="multilevel"/>
    <w:tmpl w:val="6D4C88B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93D6A68"/>
    <w:multiLevelType w:val="multilevel"/>
    <w:tmpl w:val="A6EC5992"/>
    <w:lvl w:ilvl="0">
      <w:start w:val="1"/>
      <w:numFmt w:val="decimal"/>
      <w:lvlText w:val="%1."/>
      <w:lvlJc w:val="left"/>
      <w:pPr>
        <w:tabs>
          <w:tab w:val="num" w:pos="0"/>
        </w:tabs>
        <w:ind w:left="360" w:hanging="360"/>
      </w:pPr>
      <w:rPr>
        <w:color w:val="2F5496" w:themeColor="accent5" w:themeShade="BF"/>
        <w:sz w:val="22"/>
        <w:szCs w:val="22"/>
        <w:lang w:eastAsia="es-ES"/>
      </w:rPr>
    </w:lvl>
    <w:lvl w:ilvl="1">
      <w:start w:val="1"/>
      <w:numFmt w:val="decimal"/>
      <w:lvlText w:val="%1.%2."/>
      <w:lvlJc w:val="left"/>
      <w:pPr>
        <w:tabs>
          <w:tab w:val="num" w:pos="0"/>
        </w:tabs>
        <w:ind w:left="999" w:hanging="432"/>
      </w:pPr>
      <w:rPr>
        <w:rFonts w:ascii="Tahoma" w:hAnsi="Tahoma" w:cs="Tahoma"/>
        <w:b/>
        <w:color w:val="1F4E79" w:themeColor="accent1" w:themeShade="80"/>
        <w:sz w:val="22"/>
        <w:szCs w:val="22"/>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7E8766BD"/>
    <w:multiLevelType w:val="multilevel"/>
    <w:tmpl w:val="544435F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22"/>
  </w:num>
  <w:num w:numId="3">
    <w:abstractNumId w:val="1"/>
  </w:num>
  <w:num w:numId="4">
    <w:abstractNumId w:val="19"/>
  </w:num>
  <w:num w:numId="5">
    <w:abstractNumId w:val="24"/>
  </w:num>
  <w:num w:numId="6">
    <w:abstractNumId w:val="15"/>
  </w:num>
  <w:num w:numId="7">
    <w:abstractNumId w:val="21"/>
  </w:num>
  <w:num w:numId="8">
    <w:abstractNumId w:val="20"/>
  </w:num>
  <w:num w:numId="9">
    <w:abstractNumId w:val="25"/>
  </w:num>
  <w:num w:numId="10">
    <w:abstractNumId w:val="14"/>
  </w:num>
  <w:num w:numId="11">
    <w:abstractNumId w:val="23"/>
  </w:num>
  <w:num w:numId="12">
    <w:abstractNumId w:val="10"/>
  </w:num>
  <w:num w:numId="13">
    <w:abstractNumId w:val="17"/>
  </w:num>
  <w:num w:numId="14">
    <w:abstractNumId w:val="16"/>
  </w:num>
  <w:num w:numId="15">
    <w:abstractNumId w:val="18"/>
  </w:num>
  <w:num w:numId="16">
    <w:abstractNumId w:val="12"/>
  </w:num>
  <w:num w:numId="17">
    <w:abstractNumId w:val="6"/>
  </w:num>
  <w:num w:numId="18">
    <w:abstractNumId w:val="9"/>
  </w:num>
  <w:num w:numId="19">
    <w:abstractNumId w:val="4"/>
  </w:num>
  <w:num w:numId="20">
    <w:abstractNumId w:val="7"/>
  </w:num>
  <w:num w:numId="21">
    <w:abstractNumId w:val="8"/>
  </w:num>
  <w:num w:numId="22">
    <w:abstractNumId w:val="5"/>
  </w:num>
  <w:num w:numId="23">
    <w:abstractNumId w:val="11"/>
  </w:num>
  <w:num w:numId="24">
    <w:abstractNumId w:val="13"/>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EB"/>
    <w:rsid w:val="0003658D"/>
    <w:rsid w:val="00045C6E"/>
    <w:rsid w:val="00173EA6"/>
    <w:rsid w:val="00181EA7"/>
    <w:rsid w:val="001D000F"/>
    <w:rsid w:val="002A233A"/>
    <w:rsid w:val="00530EAA"/>
    <w:rsid w:val="00582EB3"/>
    <w:rsid w:val="005A4769"/>
    <w:rsid w:val="005E7426"/>
    <w:rsid w:val="00782117"/>
    <w:rsid w:val="008523EB"/>
    <w:rsid w:val="008C5ADA"/>
    <w:rsid w:val="00A427A9"/>
    <w:rsid w:val="00A42840"/>
    <w:rsid w:val="00B036DC"/>
    <w:rsid w:val="00BD7664"/>
    <w:rsid w:val="00CA010D"/>
    <w:rsid w:val="00D22E21"/>
    <w:rsid w:val="00DB025C"/>
    <w:rsid w:val="00E4765A"/>
    <w:rsid w:val="00FB14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3639"/>
  <w15:docId w15:val="{C3DC8838-0959-4B1D-9720-2427651A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AB8"/>
    <w:pPr>
      <w:spacing w:before="180" w:after="180"/>
      <w:jc w:val="both"/>
    </w:pPr>
    <w:rPr>
      <w:rFonts w:eastAsia="Times New Roman" w:cs="Times New Roman"/>
      <w:sz w:val="21"/>
      <w:szCs w:val="20"/>
      <w:lang w:eastAsia="es-ES"/>
    </w:rPr>
  </w:style>
  <w:style w:type="paragraph" w:styleId="Ttulo1">
    <w:name w:val="heading 1"/>
    <w:basedOn w:val="Normal"/>
    <w:next w:val="Normal"/>
    <w:link w:val="Ttulo1Car"/>
    <w:uiPriority w:val="9"/>
    <w:qFormat/>
    <w:rsid w:val="00586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53B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75E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DA6AB8"/>
    <w:rPr>
      <w:rFonts w:ascii="Calibri" w:eastAsia="Times New Roman" w:hAnsi="Calibri" w:cs="Times New Roman"/>
      <w:sz w:val="21"/>
      <w:szCs w:val="20"/>
      <w:lang w:eastAsia="es-ES"/>
    </w:rPr>
  </w:style>
  <w:style w:type="character" w:customStyle="1" w:styleId="PiedepginaCar">
    <w:name w:val="Pie de página Car"/>
    <w:basedOn w:val="Fuentedeprrafopredeter"/>
    <w:link w:val="Piedepgina"/>
    <w:uiPriority w:val="99"/>
    <w:qFormat/>
    <w:rsid w:val="00DA6AB8"/>
    <w:rPr>
      <w:rFonts w:ascii="Calibri" w:eastAsia="Times New Roman" w:hAnsi="Calibri" w:cs="Times New Roman"/>
      <w:sz w:val="21"/>
      <w:szCs w:val="20"/>
      <w:lang w:eastAsia="es-ES"/>
    </w:rPr>
  </w:style>
  <w:style w:type="character" w:customStyle="1" w:styleId="TextonotaalfinalCar">
    <w:name w:val="Texto nota al final Car"/>
    <w:basedOn w:val="Fuentedeprrafopredeter"/>
    <w:link w:val="Textonotaalfinal"/>
    <w:uiPriority w:val="99"/>
    <w:semiHidden/>
    <w:qFormat/>
    <w:rsid w:val="008830FF"/>
    <w:rPr>
      <w:rFonts w:ascii="Calibri" w:eastAsia="Times New Roman" w:hAnsi="Calibri" w:cs="Times New Roman"/>
      <w:sz w:val="20"/>
      <w:szCs w:val="20"/>
      <w:lang w:eastAsia="es-ES"/>
    </w:rPr>
  </w:style>
  <w:style w:type="character" w:customStyle="1" w:styleId="Caracteresdenotafinal">
    <w:name w:val="Caracteres de nota final"/>
    <w:uiPriority w:val="99"/>
    <w:semiHidden/>
    <w:unhideWhenUsed/>
    <w:qFormat/>
    <w:rsid w:val="008830FF"/>
    <w:rPr>
      <w:vertAlign w:val="superscript"/>
    </w:rPr>
  </w:style>
  <w:style w:type="character" w:customStyle="1" w:styleId="Caracteresdenotafinaluser">
    <w:name w:val="Caracteres de nota final (user)"/>
    <w:qFormat/>
    <w:rPr>
      <w:vertAlign w:val="superscript"/>
    </w:rPr>
  </w:style>
  <w:style w:type="character" w:styleId="Refdenotaalfinal">
    <w:name w:val="endnote reference"/>
    <w:rPr>
      <w:vertAlign w:val="superscript"/>
    </w:rPr>
  </w:style>
  <w:style w:type="character" w:customStyle="1" w:styleId="TextonotapieCar">
    <w:name w:val="Texto nota pie Car"/>
    <w:basedOn w:val="Fuentedeprrafopredeter"/>
    <w:link w:val="Textonotapie"/>
    <w:uiPriority w:val="99"/>
    <w:semiHidden/>
    <w:qFormat/>
    <w:rsid w:val="00EE113E"/>
    <w:rPr>
      <w:rFonts w:ascii="Calibri" w:eastAsia="Times New Roman" w:hAnsi="Calibri" w:cs="Times New Roman"/>
      <w:sz w:val="20"/>
      <w:szCs w:val="20"/>
      <w:lang w:eastAsia="es-ES"/>
    </w:rPr>
  </w:style>
  <w:style w:type="character" w:customStyle="1" w:styleId="Caracteresdenotaalpie">
    <w:name w:val="Caracteres de nota al pie"/>
    <w:uiPriority w:val="99"/>
    <w:semiHidden/>
    <w:unhideWhenUsed/>
    <w:qFormat/>
    <w:rsid w:val="00EE113E"/>
    <w:rPr>
      <w:vertAlign w:val="superscript"/>
    </w:rPr>
  </w:style>
  <w:style w:type="character" w:customStyle="1" w:styleId="Caracteresdenotaalpieuser">
    <w:name w:val="Caracteres de nota al pie (user)"/>
    <w:qFormat/>
    <w:rPr>
      <w:vertAlign w:val="superscript"/>
    </w:rPr>
  </w:style>
  <w:style w:type="character" w:styleId="Refdenotaalpie">
    <w:name w:val="footnote reference"/>
    <w:rPr>
      <w:vertAlign w:val="superscript"/>
    </w:rPr>
  </w:style>
  <w:style w:type="character" w:customStyle="1" w:styleId="Ttulo1Car">
    <w:name w:val="Título 1 Car"/>
    <w:basedOn w:val="Fuentedeprrafopredeter"/>
    <w:link w:val="Ttulo1"/>
    <w:uiPriority w:val="9"/>
    <w:qFormat/>
    <w:rsid w:val="00586AB5"/>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qFormat/>
    <w:rsid w:val="00653B33"/>
    <w:rPr>
      <w:rFonts w:asciiTheme="majorHAnsi" w:eastAsiaTheme="majorEastAsia" w:hAnsiTheme="majorHAnsi" w:cstheme="majorBidi"/>
      <w:color w:val="2E74B5" w:themeColor="accent1" w:themeShade="BF"/>
      <w:sz w:val="26"/>
      <w:szCs w:val="26"/>
      <w:lang w:eastAsia="es-ES"/>
    </w:rPr>
  </w:style>
  <w:style w:type="character" w:styleId="Hipervnculo">
    <w:name w:val="Hyperlink"/>
    <w:basedOn w:val="Fuentedeprrafopredeter"/>
    <w:uiPriority w:val="99"/>
    <w:unhideWhenUsed/>
    <w:rsid w:val="002D6266"/>
    <w:rPr>
      <w:color w:val="0563C1" w:themeColor="hyperlink"/>
      <w:u w:val="single"/>
    </w:rPr>
  </w:style>
  <w:style w:type="character" w:customStyle="1" w:styleId="Textoindependiente2Car">
    <w:name w:val="Texto independiente 2 Car"/>
    <w:basedOn w:val="Fuentedeprrafopredeter"/>
    <w:link w:val="Textoindependiente2"/>
    <w:qFormat/>
    <w:rsid w:val="007F2B23"/>
    <w:rPr>
      <w:rFonts w:ascii="Arial Narrow" w:eastAsia="Times New Roman" w:hAnsi="Arial Narrow" w:cs="Times New Roman"/>
      <w:sz w:val="24"/>
      <w:szCs w:val="20"/>
      <w:lang w:eastAsia="es-ES_tradnl"/>
    </w:rPr>
  </w:style>
  <w:style w:type="character" w:customStyle="1" w:styleId="TextodegloboCar">
    <w:name w:val="Texto de globo Car"/>
    <w:basedOn w:val="Fuentedeprrafopredeter"/>
    <w:link w:val="Textodeglobo"/>
    <w:uiPriority w:val="99"/>
    <w:semiHidden/>
    <w:qFormat/>
    <w:rsid w:val="00F15C8D"/>
    <w:rPr>
      <w:rFonts w:ascii="Segoe UI" w:eastAsia="Times New Roman" w:hAnsi="Segoe UI" w:cs="Segoe UI"/>
      <w:sz w:val="18"/>
      <w:szCs w:val="18"/>
      <w:lang w:eastAsia="es-ES"/>
    </w:rPr>
  </w:style>
  <w:style w:type="character" w:customStyle="1" w:styleId="SinespaciadoCar">
    <w:name w:val="Sin espaciado Car"/>
    <w:basedOn w:val="Fuentedeprrafopredeter"/>
    <w:link w:val="Sinespaciado"/>
    <w:uiPriority w:val="1"/>
    <w:qFormat/>
    <w:rsid w:val="0021234A"/>
    <w:rPr>
      <w:rFonts w:eastAsiaTheme="minorEastAsia"/>
      <w:lang w:eastAsia="es-ES"/>
    </w:rPr>
  </w:style>
  <w:style w:type="character" w:styleId="Refdecomentario">
    <w:name w:val="annotation reference"/>
    <w:basedOn w:val="Fuentedeprrafopredeter"/>
    <w:unhideWhenUsed/>
    <w:qFormat/>
    <w:rsid w:val="00591334"/>
    <w:rPr>
      <w:sz w:val="16"/>
      <w:szCs w:val="16"/>
    </w:rPr>
  </w:style>
  <w:style w:type="character" w:customStyle="1" w:styleId="TextocomentarioCar">
    <w:name w:val="Texto comentario Car"/>
    <w:basedOn w:val="Fuentedeprrafopredeter"/>
    <w:link w:val="Textocomentario"/>
    <w:qFormat/>
    <w:rsid w:val="00591334"/>
    <w:rPr>
      <w:rFonts w:ascii="Calibri" w:eastAsia="Times New Roman" w:hAnsi="Calibri" w:cs="Times New Roman"/>
      <w:sz w:val="20"/>
      <w:szCs w:val="20"/>
      <w:lang w:eastAsia="es-ES"/>
    </w:rPr>
  </w:style>
  <w:style w:type="character" w:customStyle="1" w:styleId="AsuntodelcomentarioCar">
    <w:name w:val="Asunto del comentario Car"/>
    <w:basedOn w:val="TextocomentarioCar"/>
    <w:link w:val="Asuntodelcomentario"/>
    <w:uiPriority w:val="99"/>
    <w:semiHidden/>
    <w:qFormat/>
    <w:rsid w:val="00591334"/>
    <w:rPr>
      <w:rFonts w:ascii="Calibri" w:eastAsia="Times New Roman" w:hAnsi="Calibri" w:cs="Times New Roman"/>
      <w:b/>
      <w:bCs/>
      <w:sz w:val="20"/>
      <w:szCs w:val="20"/>
      <w:lang w:eastAsia="es-ES"/>
    </w:rPr>
  </w:style>
  <w:style w:type="character" w:customStyle="1" w:styleId="TextoindependienteCar">
    <w:name w:val="Texto independiente Car"/>
    <w:basedOn w:val="Fuentedeprrafopredeter"/>
    <w:link w:val="Textoindependiente"/>
    <w:uiPriority w:val="99"/>
    <w:semiHidden/>
    <w:qFormat/>
    <w:rsid w:val="00257A5A"/>
    <w:rPr>
      <w:rFonts w:ascii="Calibri" w:eastAsia="Times New Roman" w:hAnsi="Calibri" w:cs="Times New Roman"/>
      <w:sz w:val="21"/>
      <w:szCs w:val="20"/>
      <w:lang w:eastAsia="es-ES"/>
    </w:rPr>
  </w:style>
  <w:style w:type="character" w:customStyle="1" w:styleId="TextosinformatoCar">
    <w:name w:val="Texto sin formato Car"/>
    <w:basedOn w:val="Fuentedeprrafopredeter"/>
    <w:link w:val="Textosinformato"/>
    <w:uiPriority w:val="99"/>
    <w:qFormat/>
    <w:rsid w:val="00257A5A"/>
    <w:rPr>
      <w:rFonts w:ascii="Calibri" w:eastAsia="Calibri" w:hAnsi="Calibri" w:cs="Calibri"/>
    </w:rPr>
  </w:style>
  <w:style w:type="character" w:customStyle="1" w:styleId="Enlacedelndice">
    <w:name w:val="Enlace del índice"/>
    <w:qFormat/>
  </w:style>
  <w:style w:type="character" w:customStyle="1" w:styleId="Smbolosdenumeracin">
    <w:name w:val="Símbolos de numeración"/>
    <w:qFormat/>
  </w:style>
  <w:style w:type="character" w:customStyle="1" w:styleId="Ttulo3Car">
    <w:name w:val="Título 3 Car"/>
    <w:basedOn w:val="Fuentedeprrafopredeter"/>
    <w:link w:val="Ttulo3"/>
    <w:uiPriority w:val="9"/>
    <w:semiHidden/>
    <w:qFormat/>
    <w:rsid w:val="00E75EF9"/>
    <w:rPr>
      <w:rFonts w:asciiTheme="majorHAnsi" w:eastAsiaTheme="majorEastAsia" w:hAnsiTheme="majorHAnsi" w:cstheme="majorBidi"/>
      <w:color w:val="1F4D78" w:themeColor="accent1" w:themeShade="7F"/>
      <w:sz w:val="24"/>
      <w:szCs w:val="24"/>
      <w:lang w:eastAsia="es-ES"/>
    </w:rPr>
  </w:style>
  <w:style w:type="character" w:customStyle="1" w:styleId="Enlacedelndiceuser">
    <w:name w:val="Enlace del índice (user)"/>
    <w:qFormat/>
  </w:style>
  <w:style w:type="paragraph" w:styleId="Puest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semiHidden/>
    <w:unhideWhenUsed/>
    <w:rsid w:val="00257A5A"/>
    <w:pPr>
      <w:spacing w:after="12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styleId="TDC1">
    <w:name w:val="toc 1"/>
    <w:basedOn w:val="Normal"/>
    <w:next w:val="Normal"/>
    <w:autoRedefine/>
    <w:uiPriority w:val="39"/>
    <w:rsid w:val="004A3003"/>
    <w:pPr>
      <w:tabs>
        <w:tab w:val="left" w:pos="426"/>
        <w:tab w:val="right" w:leader="dot" w:pos="7920"/>
      </w:tabs>
      <w:spacing w:after="120"/>
      <w:ind w:left="425" w:right="919" w:hanging="425"/>
    </w:pPr>
    <w:rPr>
      <w:rFonts w:ascii="Tahoma" w:eastAsia="Arial Unicode MS" w:hAnsi="Tahoma" w:cs="Tahoma"/>
      <w:b/>
      <w:color w:val="2D3090"/>
      <w:sz w:val="20"/>
      <w:lang w:val="es-ES_tradnl" w:eastAsia="zh-CN"/>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DA6AB8"/>
    <w:pPr>
      <w:tabs>
        <w:tab w:val="center" w:pos="4252"/>
        <w:tab w:val="right" w:pos="8504"/>
      </w:tabs>
      <w:spacing w:before="0" w:after="0"/>
    </w:pPr>
  </w:style>
  <w:style w:type="paragraph" w:styleId="Piedepgina">
    <w:name w:val="footer"/>
    <w:basedOn w:val="Normal"/>
    <w:link w:val="PiedepginaCar"/>
    <w:uiPriority w:val="99"/>
    <w:unhideWhenUsed/>
    <w:rsid w:val="00DA6AB8"/>
    <w:pPr>
      <w:tabs>
        <w:tab w:val="center" w:pos="4252"/>
        <w:tab w:val="right" w:pos="8504"/>
      </w:tabs>
      <w:spacing w:before="0" w:after="0"/>
    </w:pPr>
  </w:style>
  <w:style w:type="paragraph" w:styleId="Prrafodelista">
    <w:name w:val="List Paragraph"/>
    <w:basedOn w:val="Normal"/>
    <w:qFormat/>
    <w:rsid w:val="00DA6AB8"/>
    <w:pPr>
      <w:ind w:left="720"/>
      <w:contextualSpacing/>
    </w:pPr>
  </w:style>
  <w:style w:type="paragraph" w:customStyle="1" w:styleId="Default">
    <w:name w:val="Default"/>
    <w:qFormat/>
    <w:rsid w:val="00DA6AB8"/>
    <w:rPr>
      <w:rFonts w:ascii="Tahoma" w:eastAsia="Calibri" w:hAnsi="Tahoma" w:cs="Tahoma"/>
      <w:color w:val="000000"/>
      <w:sz w:val="24"/>
      <w:szCs w:val="24"/>
    </w:rPr>
  </w:style>
  <w:style w:type="paragraph" w:styleId="Textonotaalfinal">
    <w:name w:val="endnote text"/>
    <w:basedOn w:val="Normal"/>
    <w:link w:val="TextonotaalfinalCar"/>
    <w:uiPriority w:val="99"/>
    <w:semiHidden/>
    <w:unhideWhenUsed/>
    <w:rsid w:val="008830FF"/>
    <w:pPr>
      <w:spacing w:before="0" w:after="0"/>
    </w:pPr>
    <w:rPr>
      <w:sz w:val="20"/>
    </w:rPr>
  </w:style>
  <w:style w:type="paragraph" w:styleId="Textonotapie">
    <w:name w:val="footnote text"/>
    <w:basedOn w:val="Normal"/>
    <w:link w:val="TextonotapieCar"/>
    <w:uiPriority w:val="99"/>
    <w:semiHidden/>
    <w:unhideWhenUsed/>
    <w:rsid w:val="00EE113E"/>
    <w:pPr>
      <w:spacing w:before="0" w:after="0"/>
    </w:pPr>
    <w:rPr>
      <w:sz w:val="20"/>
    </w:rPr>
  </w:style>
  <w:style w:type="paragraph" w:styleId="Ttulodendice">
    <w:name w:val="index heading"/>
    <w:basedOn w:val="Puesto"/>
  </w:style>
  <w:style w:type="paragraph" w:styleId="TtulodeTDC">
    <w:name w:val="TOC Heading"/>
    <w:basedOn w:val="Ttulo1"/>
    <w:next w:val="Normal"/>
    <w:uiPriority w:val="39"/>
    <w:unhideWhenUsed/>
    <w:qFormat/>
    <w:rsid w:val="00586AB5"/>
    <w:pPr>
      <w:spacing w:line="259" w:lineRule="auto"/>
      <w:jc w:val="left"/>
      <w:outlineLvl w:val="9"/>
    </w:pPr>
  </w:style>
  <w:style w:type="paragraph" w:styleId="Textoindependiente2">
    <w:name w:val="Body Text 2"/>
    <w:basedOn w:val="Normal"/>
    <w:link w:val="Textoindependiente2Car"/>
    <w:qFormat/>
    <w:rsid w:val="007F2B23"/>
    <w:pPr>
      <w:spacing w:before="0" w:after="0"/>
    </w:pPr>
    <w:rPr>
      <w:rFonts w:ascii="Arial Narrow" w:hAnsi="Arial Narrow"/>
      <w:sz w:val="24"/>
      <w:lang w:eastAsia="es-ES_tradnl"/>
    </w:rPr>
  </w:style>
  <w:style w:type="paragraph" w:styleId="TDC2">
    <w:name w:val="toc 2"/>
    <w:basedOn w:val="Normal"/>
    <w:next w:val="Normal"/>
    <w:autoRedefine/>
    <w:uiPriority w:val="39"/>
    <w:unhideWhenUsed/>
    <w:rsid w:val="00A47817"/>
    <w:pPr>
      <w:tabs>
        <w:tab w:val="left" w:pos="880"/>
        <w:tab w:val="right" w:leader="dot" w:pos="7938"/>
      </w:tabs>
      <w:spacing w:after="100"/>
    </w:pPr>
  </w:style>
  <w:style w:type="paragraph" w:styleId="TDC3">
    <w:name w:val="toc 3"/>
    <w:basedOn w:val="Normal"/>
    <w:next w:val="Normal"/>
    <w:autoRedefine/>
    <w:uiPriority w:val="39"/>
    <w:unhideWhenUsed/>
    <w:rsid w:val="00480A30"/>
    <w:pPr>
      <w:spacing w:before="0" w:after="100" w:line="259" w:lineRule="auto"/>
      <w:ind w:left="440"/>
      <w:jc w:val="left"/>
    </w:pPr>
    <w:rPr>
      <w:rFonts w:eastAsiaTheme="minorEastAsia"/>
      <w:sz w:val="22"/>
      <w:szCs w:val="22"/>
    </w:rPr>
  </w:style>
  <w:style w:type="paragraph" w:styleId="Textodeglobo">
    <w:name w:val="Balloon Text"/>
    <w:basedOn w:val="Normal"/>
    <w:link w:val="TextodegloboCar"/>
    <w:uiPriority w:val="99"/>
    <w:semiHidden/>
    <w:unhideWhenUsed/>
    <w:qFormat/>
    <w:rsid w:val="00F15C8D"/>
    <w:pPr>
      <w:spacing w:before="0" w:after="0"/>
    </w:pPr>
    <w:rPr>
      <w:rFonts w:ascii="Segoe UI" w:hAnsi="Segoe UI" w:cs="Segoe UI"/>
      <w:sz w:val="18"/>
      <w:szCs w:val="18"/>
    </w:rPr>
  </w:style>
  <w:style w:type="paragraph" w:styleId="Sinespaciado">
    <w:name w:val="No Spacing"/>
    <w:link w:val="SinespaciadoCar"/>
    <w:uiPriority w:val="1"/>
    <w:qFormat/>
    <w:rsid w:val="0021234A"/>
    <w:rPr>
      <w:rFonts w:ascii="Calibri" w:eastAsiaTheme="minorEastAsia" w:hAnsi="Calibri"/>
      <w:lang w:eastAsia="es-ES"/>
    </w:rPr>
  </w:style>
  <w:style w:type="paragraph" w:styleId="Textocomentario">
    <w:name w:val="annotation text"/>
    <w:basedOn w:val="Normal"/>
    <w:link w:val="TextocomentarioCar"/>
    <w:unhideWhenUsed/>
    <w:rsid w:val="00591334"/>
    <w:rPr>
      <w:sz w:val="20"/>
    </w:rPr>
  </w:style>
  <w:style w:type="paragraph" w:styleId="Asuntodelcomentario">
    <w:name w:val="annotation subject"/>
    <w:basedOn w:val="Textocomentario"/>
    <w:next w:val="Textocomentario"/>
    <w:link w:val="AsuntodelcomentarioCar"/>
    <w:uiPriority w:val="99"/>
    <w:semiHidden/>
    <w:unhideWhenUsed/>
    <w:qFormat/>
    <w:rsid w:val="00591334"/>
    <w:rPr>
      <w:b/>
      <w:bCs/>
    </w:rPr>
  </w:style>
  <w:style w:type="paragraph" w:customStyle="1" w:styleId="Textoindependiente22">
    <w:name w:val="Texto independiente 22"/>
    <w:basedOn w:val="Normal"/>
    <w:qFormat/>
    <w:rsid w:val="007F33D9"/>
    <w:pPr>
      <w:spacing w:before="0" w:after="0"/>
    </w:pPr>
    <w:rPr>
      <w:rFonts w:ascii="Arial Narrow" w:hAnsi="Arial Narrow" w:cs="Arial Narrow"/>
      <w:sz w:val="24"/>
      <w:lang w:eastAsia="es-ES_tradnl"/>
    </w:rPr>
  </w:style>
  <w:style w:type="paragraph" w:customStyle="1" w:styleId="Standard">
    <w:name w:val="Standard"/>
    <w:qFormat/>
    <w:rsid w:val="00B64540"/>
    <w:pPr>
      <w:widowControl w:val="0"/>
    </w:pPr>
    <w:rPr>
      <w:rFonts w:ascii="Liberation Serif" w:eastAsia="Segoe UI" w:hAnsi="Liberation Serif" w:cs="Tahoma"/>
      <w:color w:val="000000"/>
      <w:kern w:val="2"/>
      <w:sz w:val="24"/>
      <w:szCs w:val="24"/>
      <w:lang w:eastAsia="zh-CN" w:bidi="hi-IN"/>
    </w:rPr>
  </w:style>
  <w:style w:type="paragraph" w:customStyle="1" w:styleId="CharCharChar">
    <w:name w:val="Char Char Char"/>
    <w:basedOn w:val="Normal"/>
    <w:next w:val="Normal"/>
    <w:qFormat/>
    <w:rsid w:val="00257A5A"/>
    <w:pPr>
      <w:spacing w:before="0" w:after="160" w:line="240" w:lineRule="exact"/>
      <w:jc w:val="left"/>
    </w:pPr>
    <w:rPr>
      <w:rFonts w:ascii="Tahoma" w:hAnsi="Tahoma" w:cs="Tahoma"/>
      <w:sz w:val="20"/>
      <w:lang w:val="en-US" w:eastAsia="en-US"/>
    </w:rPr>
  </w:style>
  <w:style w:type="paragraph" w:styleId="Textosinformato">
    <w:name w:val="Plain Text"/>
    <w:basedOn w:val="Normal"/>
    <w:link w:val="TextosinformatoCar"/>
    <w:uiPriority w:val="99"/>
    <w:unhideWhenUsed/>
    <w:qFormat/>
    <w:rsid w:val="00257A5A"/>
    <w:pPr>
      <w:spacing w:before="0" w:after="0"/>
      <w:jc w:val="left"/>
    </w:pPr>
    <w:rPr>
      <w:rFonts w:eastAsia="Calibri" w:cs="Calibri"/>
      <w:sz w:val="22"/>
      <w:szCs w:val="22"/>
      <w:lang w:eastAsia="en-US"/>
    </w:rPr>
  </w:style>
  <w:style w:type="paragraph" w:customStyle="1" w:styleId="default1">
    <w:name w:val="default1"/>
    <w:basedOn w:val="Normal"/>
    <w:qFormat/>
    <w:pPr>
      <w:spacing w:beforeAutospacing="1" w:afterAutospacing="1"/>
      <w:jc w:val="left"/>
    </w:pPr>
    <w:rPr>
      <w:rFonts w:ascii="Times New Roman" w:hAnsi="Times New Roman"/>
      <w:sz w:val="24"/>
      <w:szCs w:val="24"/>
    </w:rPr>
  </w:style>
  <w:style w:type="paragraph" w:styleId="NormalWeb">
    <w:name w:val="Normal (Web)"/>
    <w:basedOn w:val="Normal"/>
    <w:qFormat/>
    <w:pPr>
      <w:spacing w:beforeAutospacing="1" w:afterAutospacing="1"/>
      <w:jc w:val="left"/>
    </w:pPr>
    <w:rPr>
      <w:rFonts w:ascii="Times New Roman" w:hAnsi="Times New Roman"/>
      <w:sz w:val="24"/>
      <w:szCs w:val="24"/>
    </w:rPr>
  </w:style>
  <w:style w:type="paragraph" w:customStyle="1" w:styleId="Citaenbloqueuser">
    <w:name w:val="Cita en bloque (user)"/>
    <w:basedOn w:val="Normal"/>
    <w:qFormat/>
    <w:pPr>
      <w:spacing w:after="283"/>
      <w:ind w:left="567" w:right="567"/>
    </w:pPr>
  </w:style>
  <w:style w:type="numbering" w:customStyle="1" w:styleId="Ningunalistauser">
    <w:name w:val="Ninguna lista (user)"/>
    <w:uiPriority w:val="99"/>
    <w:semiHidden/>
    <w:unhideWhenUsed/>
    <w:qFormat/>
  </w:style>
  <w:style w:type="numbering" w:customStyle="1" w:styleId="Ningunalista">
    <w:name w:val="Ninguna lista"/>
    <w:uiPriority w:val="99"/>
    <w:semiHidden/>
    <w:unhideWhenUsed/>
    <w:qFormat/>
  </w:style>
  <w:style w:type="table" w:styleId="Tablaconcuadrcula">
    <w:name w:val="Table Grid"/>
    <w:basedOn w:val="Tablanormal"/>
    <w:rsid w:val="00DA6AB8"/>
    <w:pPr>
      <w:spacing w:before="180" w:after="180"/>
      <w:jc w:val="both"/>
    </w:pPr>
    <w:rPr>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procedures-guidelines-tenders/information-contractors-and-beneficiaries/exchange-rate-inforeuro_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03063-6E78-479A-94D6-2FC6CA70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4423</Words>
  <Characters>24327</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HACIENDA</Company>
  <LinksUpToDate>false</LinksUpToDate>
  <CharactersWithSpaces>28693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Ruiz</dc:creator>
  <dc:description/>
  <cp:lastModifiedBy>Secretaría Conjunta</cp:lastModifiedBy>
  <cp:revision>26</cp:revision>
  <cp:lastPrinted>2025-11-21T12:43:00Z</cp:lastPrinted>
  <dcterms:created xsi:type="dcterms:W3CDTF">2026-03-05T14:33:00Z</dcterms:created>
  <dcterms:modified xsi:type="dcterms:W3CDTF">2026-07-24T09:58:00Z</dcterms:modified>
  <dc:language>es-ES</dc:language>
</cp:coreProperties>
</file>